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688D3" w14:textId="77777777" w:rsidR="009B372B" w:rsidRPr="009B372B" w:rsidRDefault="009B372B" w:rsidP="009B372B">
      <w:pPr>
        <w:jc w:val="center"/>
        <w:rPr>
          <w:rFonts w:ascii="Times New Roman" w:hAnsi="Times New Roman" w:cs="Times New Roman"/>
          <w:b/>
          <w:bCs/>
          <w:sz w:val="28"/>
          <w:szCs w:val="28"/>
        </w:rPr>
      </w:pPr>
      <w:r w:rsidRPr="009B372B">
        <w:rPr>
          <w:rFonts w:ascii="Times New Roman" w:hAnsi="Times New Roman" w:cs="Times New Roman"/>
          <w:b/>
          <w:bCs/>
          <w:sz w:val="28"/>
          <w:szCs w:val="28"/>
        </w:rPr>
        <w:t>Conventions collectives du Bâtiment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2"/>
        <w:gridCol w:w="5663"/>
        <w:gridCol w:w="1894"/>
        <w:gridCol w:w="963"/>
      </w:tblGrid>
      <w:tr w:rsidR="009B372B" w:rsidRPr="009B372B" w14:paraId="71E9B8AA" w14:textId="77777777" w:rsidTr="009B372B">
        <w:trPr>
          <w:tblHeader/>
          <w:tblCellSpacing w:w="15" w:type="dxa"/>
        </w:trPr>
        <w:tc>
          <w:tcPr>
            <w:tcW w:w="0" w:type="auto"/>
            <w:vAlign w:val="center"/>
            <w:hideMark/>
          </w:tcPr>
          <w:p w14:paraId="68BBE7FB" w14:textId="77777777" w:rsidR="009B372B" w:rsidRPr="009B372B" w:rsidRDefault="009B372B" w:rsidP="009B372B">
            <w:pPr>
              <w:jc w:val="center"/>
            </w:pPr>
            <w:r w:rsidRPr="009B372B">
              <w:t>IDCC</w:t>
            </w:r>
          </w:p>
        </w:tc>
        <w:tc>
          <w:tcPr>
            <w:tcW w:w="0" w:type="auto"/>
            <w:vAlign w:val="center"/>
            <w:hideMark/>
          </w:tcPr>
          <w:p w14:paraId="0BBF8697" w14:textId="77777777" w:rsidR="009B372B" w:rsidRPr="009B372B" w:rsidRDefault="009B372B" w:rsidP="009B372B">
            <w:pPr>
              <w:jc w:val="center"/>
            </w:pPr>
            <w:r w:rsidRPr="009B372B">
              <w:t>Titre</w:t>
            </w:r>
          </w:p>
        </w:tc>
        <w:tc>
          <w:tcPr>
            <w:tcW w:w="0" w:type="auto"/>
            <w:vAlign w:val="center"/>
            <w:hideMark/>
          </w:tcPr>
          <w:p w14:paraId="4D9B12BD" w14:textId="77777777" w:rsidR="009B372B" w:rsidRPr="009B372B" w:rsidRDefault="009B372B" w:rsidP="009B372B">
            <w:pPr>
              <w:jc w:val="center"/>
            </w:pPr>
            <w:r w:rsidRPr="009B372B">
              <w:t>Catégorie concernée</w:t>
            </w:r>
          </w:p>
        </w:tc>
        <w:tc>
          <w:tcPr>
            <w:tcW w:w="0" w:type="auto"/>
            <w:vAlign w:val="center"/>
            <w:hideMark/>
          </w:tcPr>
          <w:p w14:paraId="512ACC3A" w14:textId="77777777" w:rsidR="009B372B" w:rsidRPr="009B372B" w:rsidRDefault="009B372B" w:rsidP="009B372B">
            <w:pPr>
              <w:jc w:val="center"/>
            </w:pPr>
            <w:r w:rsidRPr="009B372B">
              <w:t>Extension</w:t>
            </w:r>
          </w:p>
        </w:tc>
      </w:tr>
      <w:tr w:rsidR="009B372B" w:rsidRPr="009B372B" w14:paraId="0E9A977C" w14:textId="77777777" w:rsidTr="009B372B">
        <w:trPr>
          <w:tblCellSpacing w:w="15" w:type="dxa"/>
        </w:trPr>
        <w:tc>
          <w:tcPr>
            <w:tcW w:w="0" w:type="auto"/>
            <w:vAlign w:val="center"/>
            <w:hideMark/>
          </w:tcPr>
          <w:p w14:paraId="2E5E4BAB" w14:textId="77777777" w:rsidR="009B372B" w:rsidRPr="009B372B" w:rsidRDefault="009B372B" w:rsidP="009B372B">
            <w:r w:rsidRPr="009B372B">
              <w:t>1596</w:t>
            </w:r>
          </w:p>
        </w:tc>
        <w:tc>
          <w:tcPr>
            <w:tcW w:w="0" w:type="auto"/>
            <w:vAlign w:val="center"/>
            <w:hideMark/>
          </w:tcPr>
          <w:p w14:paraId="7289A6F9" w14:textId="77777777" w:rsidR="009B372B" w:rsidRPr="009B372B" w:rsidRDefault="009B372B" w:rsidP="009B372B">
            <w:r w:rsidRPr="009B372B">
              <w:t>Ouvriers des entreprises du bâtiment ≤ 10 salariés</w:t>
            </w:r>
          </w:p>
        </w:tc>
        <w:tc>
          <w:tcPr>
            <w:tcW w:w="0" w:type="auto"/>
            <w:vAlign w:val="center"/>
            <w:hideMark/>
          </w:tcPr>
          <w:p w14:paraId="25D7A614" w14:textId="77777777" w:rsidR="009B372B" w:rsidRPr="009B372B" w:rsidRDefault="009B372B" w:rsidP="009B372B">
            <w:r w:rsidRPr="009B372B">
              <w:t>Ouvriers</w:t>
            </w:r>
          </w:p>
        </w:tc>
        <w:tc>
          <w:tcPr>
            <w:tcW w:w="0" w:type="auto"/>
            <w:vAlign w:val="center"/>
            <w:hideMark/>
          </w:tcPr>
          <w:p w14:paraId="5D0B1E69" w14:textId="77777777" w:rsidR="009B372B" w:rsidRPr="009B372B" w:rsidRDefault="009B372B" w:rsidP="009B372B">
            <w:r w:rsidRPr="009B372B">
              <w:rPr>
                <w:rFonts w:ascii="Segoe UI Emoji" w:hAnsi="Segoe UI Emoji" w:cs="Segoe UI Emoji"/>
              </w:rPr>
              <w:t>✅</w:t>
            </w:r>
            <w:r w:rsidRPr="009B372B">
              <w:t xml:space="preserve"> Oui</w:t>
            </w:r>
          </w:p>
        </w:tc>
      </w:tr>
      <w:tr w:rsidR="009B372B" w:rsidRPr="009B372B" w14:paraId="614FB7F7" w14:textId="77777777" w:rsidTr="009B372B">
        <w:trPr>
          <w:tblCellSpacing w:w="15" w:type="dxa"/>
        </w:trPr>
        <w:tc>
          <w:tcPr>
            <w:tcW w:w="0" w:type="auto"/>
            <w:vAlign w:val="center"/>
            <w:hideMark/>
          </w:tcPr>
          <w:p w14:paraId="5BB234C1" w14:textId="77777777" w:rsidR="009B372B" w:rsidRPr="009B372B" w:rsidRDefault="009B372B" w:rsidP="009B372B">
            <w:r w:rsidRPr="009B372B">
              <w:t>1597</w:t>
            </w:r>
          </w:p>
        </w:tc>
        <w:tc>
          <w:tcPr>
            <w:tcW w:w="0" w:type="auto"/>
            <w:vAlign w:val="center"/>
            <w:hideMark/>
          </w:tcPr>
          <w:p w14:paraId="5E9EBF9B" w14:textId="77777777" w:rsidR="009B372B" w:rsidRPr="009B372B" w:rsidRDefault="009B372B" w:rsidP="009B372B">
            <w:r w:rsidRPr="009B372B">
              <w:t>Ouvriers des entreprises du bâtiment &gt; 10 salariés</w:t>
            </w:r>
          </w:p>
        </w:tc>
        <w:tc>
          <w:tcPr>
            <w:tcW w:w="0" w:type="auto"/>
            <w:vAlign w:val="center"/>
            <w:hideMark/>
          </w:tcPr>
          <w:p w14:paraId="0B2981F1" w14:textId="77777777" w:rsidR="009B372B" w:rsidRPr="009B372B" w:rsidRDefault="009B372B" w:rsidP="009B372B">
            <w:r w:rsidRPr="009B372B">
              <w:t>Ouvriers</w:t>
            </w:r>
          </w:p>
        </w:tc>
        <w:tc>
          <w:tcPr>
            <w:tcW w:w="0" w:type="auto"/>
            <w:vAlign w:val="center"/>
            <w:hideMark/>
          </w:tcPr>
          <w:p w14:paraId="526AABDA" w14:textId="77777777" w:rsidR="009B372B" w:rsidRPr="009B372B" w:rsidRDefault="009B372B" w:rsidP="009B372B">
            <w:r w:rsidRPr="009B372B">
              <w:rPr>
                <w:rFonts w:ascii="Segoe UI Emoji" w:hAnsi="Segoe UI Emoji" w:cs="Segoe UI Emoji"/>
              </w:rPr>
              <w:t>✅</w:t>
            </w:r>
            <w:r w:rsidRPr="009B372B">
              <w:t xml:space="preserve"> Oui</w:t>
            </w:r>
          </w:p>
        </w:tc>
      </w:tr>
      <w:tr w:rsidR="009B372B" w:rsidRPr="009B372B" w14:paraId="71ECF273" w14:textId="77777777" w:rsidTr="009B372B">
        <w:trPr>
          <w:tblCellSpacing w:w="15" w:type="dxa"/>
        </w:trPr>
        <w:tc>
          <w:tcPr>
            <w:tcW w:w="0" w:type="auto"/>
            <w:vAlign w:val="center"/>
            <w:hideMark/>
          </w:tcPr>
          <w:p w14:paraId="4A515C8A" w14:textId="77777777" w:rsidR="009B372B" w:rsidRPr="009B372B" w:rsidRDefault="009B372B" w:rsidP="009B372B">
            <w:r w:rsidRPr="009B372B">
              <w:t>2609</w:t>
            </w:r>
          </w:p>
        </w:tc>
        <w:tc>
          <w:tcPr>
            <w:tcW w:w="0" w:type="auto"/>
            <w:vAlign w:val="center"/>
            <w:hideMark/>
          </w:tcPr>
          <w:p w14:paraId="2E5803DC" w14:textId="77777777" w:rsidR="009B372B" w:rsidRPr="009B372B" w:rsidRDefault="009B372B" w:rsidP="009B372B">
            <w:r w:rsidRPr="009B372B">
              <w:t>Employés, techniciens et agents de maîtrise (ETAM) du bâtiment</w:t>
            </w:r>
          </w:p>
        </w:tc>
        <w:tc>
          <w:tcPr>
            <w:tcW w:w="0" w:type="auto"/>
            <w:vAlign w:val="center"/>
            <w:hideMark/>
          </w:tcPr>
          <w:p w14:paraId="0198CDB7" w14:textId="77777777" w:rsidR="009B372B" w:rsidRPr="009B372B" w:rsidRDefault="009B372B" w:rsidP="009B372B">
            <w:r w:rsidRPr="009B372B">
              <w:t>ETAM</w:t>
            </w:r>
          </w:p>
        </w:tc>
        <w:tc>
          <w:tcPr>
            <w:tcW w:w="0" w:type="auto"/>
            <w:vAlign w:val="center"/>
            <w:hideMark/>
          </w:tcPr>
          <w:p w14:paraId="5E18A132" w14:textId="77777777" w:rsidR="009B372B" w:rsidRPr="009B372B" w:rsidRDefault="009B372B" w:rsidP="009B372B">
            <w:r w:rsidRPr="009B372B">
              <w:rPr>
                <w:rFonts w:ascii="Segoe UI Emoji" w:hAnsi="Segoe UI Emoji" w:cs="Segoe UI Emoji"/>
              </w:rPr>
              <w:t>✅</w:t>
            </w:r>
            <w:r w:rsidRPr="009B372B">
              <w:t xml:space="preserve"> Oui</w:t>
            </w:r>
          </w:p>
        </w:tc>
      </w:tr>
      <w:tr w:rsidR="009B372B" w:rsidRPr="009B372B" w14:paraId="64D5509E" w14:textId="77777777" w:rsidTr="009B372B">
        <w:trPr>
          <w:tblCellSpacing w:w="15" w:type="dxa"/>
        </w:trPr>
        <w:tc>
          <w:tcPr>
            <w:tcW w:w="0" w:type="auto"/>
            <w:vAlign w:val="center"/>
            <w:hideMark/>
          </w:tcPr>
          <w:p w14:paraId="2A1E11AD" w14:textId="77777777" w:rsidR="009B372B" w:rsidRPr="009B372B" w:rsidRDefault="009B372B" w:rsidP="009B372B">
            <w:r w:rsidRPr="009B372B">
              <w:t>2420</w:t>
            </w:r>
          </w:p>
        </w:tc>
        <w:tc>
          <w:tcPr>
            <w:tcW w:w="0" w:type="auto"/>
            <w:vAlign w:val="center"/>
            <w:hideMark/>
          </w:tcPr>
          <w:p w14:paraId="5E98E2E7" w14:textId="77777777" w:rsidR="009B372B" w:rsidRPr="009B372B" w:rsidRDefault="009B372B" w:rsidP="009B372B">
            <w:r w:rsidRPr="009B372B">
              <w:t>Cadres du bâtiment</w:t>
            </w:r>
          </w:p>
        </w:tc>
        <w:tc>
          <w:tcPr>
            <w:tcW w:w="0" w:type="auto"/>
            <w:vAlign w:val="center"/>
            <w:hideMark/>
          </w:tcPr>
          <w:p w14:paraId="2A459594" w14:textId="77777777" w:rsidR="009B372B" w:rsidRPr="009B372B" w:rsidRDefault="009B372B" w:rsidP="009B372B">
            <w:r w:rsidRPr="009B372B">
              <w:t>Cadres</w:t>
            </w:r>
          </w:p>
        </w:tc>
        <w:tc>
          <w:tcPr>
            <w:tcW w:w="0" w:type="auto"/>
            <w:vAlign w:val="center"/>
            <w:hideMark/>
          </w:tcPr>
          <w:p w14:paraId="4A882A8D" w14:textId="77777777" w:rsidR="009B372B" w:rsidRPr="009B372B" w:rsidRDefault="009B372B" w:rsidP="009B372B">
            <w:r w:rsidRPr="009B372B">
              <w:rPr>
                <w:rFonts w:ascii="Segoe UI Emoji" w:hAnsi="Segoe UI Emoji" w:cs="Segoe UI Emoji"/>
              </w:rPr>
              <w:t>✅</w:t>
            </w:r>
            <w:r w:rsidRPr="009B372B">
              <w:t xml:space="preserve"> Oui</w:t>
            </w:r>
          </w:p>
        </w:tc>
      </w:tr>
    </w:tbl>
    <w:p w14:paraId="0235C9F7" w14:textId="77777777" w:rsidR="009B372B" w:rsidRDefault="009B372B" w:rsidP="009B372B">
      <w:pPr>
        <w:rPr>
          <w:b/>
          <w:bCs/>
        </w:rPr>
      </w:pPr>
    </w:p>
    <w:p w14:paraId="67F9AE9C" w14:textId="2C9C45FD" w:rsidR="009B372B" w:rsidRPr="009B372B" w:rsidRDefault="009B372B" w:rsidP="009B372B">
      <w:pPr>
        <w:jc w:val="center"/>
        <w:rPr>
          <w:rFonts w:ascii="Times New Roman" w:hAnsi="Times New Roman" w:cs="Times New Roman"/>
          <w:b/>
          <w:bCs/>
          <w:sz w:val="24"/>
          <w:szCs w:val="24"/>
        </w:rPr>
      </w:pPr>
      <w:r w:rsidRPr="009B372B">
        <w:rPr>
          <w:rFonts w:ascii="Times New Roman" w:hAnsi="Times New Roman" w:cs="Times New Roman"/>
          <w:b/>
          <w:bCs/>
          <w:sz w:val="24"/>
          <w:szCs w:val="24"/>
        </w:rPr>
        <w:t>Conventions collectives des Travaux Publics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2"/>
        <w:gridCol w:w="5748"/>
        <w:gridCol w:w="1809"/>
        <w:gridCol w:w="963"/>
      </w:tblGrid>
      <w:tr w:rsidR="009B372B" w:rsidRPr="009B372B" w14:paraId="02BF201B" w14:textId="77777777" w:rsidTr="009B372B">
        <w:trPr>
          <w:tblHeader/>
          <w:tblCellSpacing w:w="15" w:type="dxa"/>
        </w:trPr>
        <w:tc>
          <w:tcPr>
            <w:tcW w:w="0" w:type="auto"/>
            <w:vAlign w:val="center"/>
            <w:hideMark/>
          </w:tcPr>
          <w:p w14:paraId="70AC760E" w14:textId="77777777" w:rsidR="009B372B" w:rsidRPr="009B372B" w:rsidRDefault="009B372B" w:rsidP="009B372B">
            <w:pPr>
              <w:jc w:val="center"/>
            </w:pPr>
            <w:r w:rsidRPr="009B372B">
              <w:t>IDCC</w:t>
            </w:r>
          </w:p>
        </w:tc>
        <w:tc>
          <w:tcPr>
            <w:tcW w:w="0" w:type="auto"/>
            <w:vAlign w:val="center"/>
            <w:hideMark/>
          </w:tcPr>
          <w:p w14:paraId="2339D9B2" w14:textId="77777777" w:rsidR="009B372B" w:rsidRPr="009B372B" w:rsidRDefault="009B372B" w:rsidP="009B372B">
            <w:pPr>
              <w:jc w:val="center"/>
            </w:pPr>
            <w:r w:rsidRPr="009B372B">
              <w:t>Titre</w:t>
            </w:r>
          </w:p>
        </w:tc>
        <w:tc>
          <w:tcPr>
            <w:tcW w:w="0" w:type="auto"/>
            <w:vAlign w:val="center"/>
            <w:hideMark/>
          </w:tcPr>
          <w:p w14:paraId="7D6136A3" w14:textId="77777777" w:rsidR="009B372B" w:rsidRPr="009B372B" w:rsidRDefault="009B372B" w:rsidP="009B372B">
            <w:pPr>
              <w:jc w:val="center"/>
            </w:pPr>
            <w:r w:rsidRPr="009B372B">
              <w:t>Catégorie concernée</w:t>
            </w:r>
          </w:p>
        </w:tc>
        <w:tc>
          <w:tcPr>
            <w:tcW w:w="0" w:type="auto"/>
            <w:vAlign w:val="center"/>
            <w:hideMark/>
          </w:tcPr>
          <w:p w14:paraId="1579F52B" w14:textId="77777777" w:rsidR="009B372B" w:rsidRPr="009B372B" w:rsidRDefault="009B372B" w:rsidP="009B372B">
            <w:pPr>
              <w:jc w:val="center"/>
            </w:pPr>
            <w:r w:rsidRPr="009B372B">
              <w:t>Extension</w:t>
            </w:r>
          </w:p>
        </w:tc>
      </w:tr>
      <w:tr w:rsidR="009B372B" w:rsidRPr="009B372B" w14:paraId="24C6AA12" w14:textId="77777777" w:rsidTr="009B372B">
        <w:trPr>
          <w:tblCellSpacing w:w="15" w:type="dxa"/>
        </w:trPr>
        <w:tc>
          <w:tcPr>
            <w:tcW w:w="0" w:type="auto"/>
            <w:vAlign w:val="center"/>
            <w:hideMark/>
          </w:tcPr>
          <w:p w14:paraId="793F6919" w14:textId="77777777" w:rsidR="009B372B" w:rsidRPr="009B372B" w:rsidRDefault="009B372B" w:rsidP="009B372B">
            <w:r w:rsidRPr="009B372B">
              <w:t>1702</w:t>
            </w:r>
          </w:p>
        </w:tc>
        <w:tc>
          <w:tcPr>
            <w:tcW w:w="0" w:type="auto"/>
            <w:vAlign w:val="center"/>
            <w:hideMark/>
          </w:tcPr>
          <w:p w14:paraId="10AFD441" w14:textId="77777777" w:rsidR="009B372B" w:rsidRPr="009B372B" w:rsidRDefault="009B372B" w:rsidP="009B372B">
            <w:r w:rsidRPr="009B372B">
              <w:t>Ouvriers des travaux publics</w:t>
            </w:r>
          </w:p>
        </w:tc>
        <w:tc>
          <w:tcPr>
            <w:tcW w:w="0" w:type="auto"/>
            <w:vAlign w:val="center"/>
            <w:hideMark/>
          </w:tcPr>
          <w:p w14:paraId="446E88DF" w14:textId="77777777" w:rsidR="009B372B" w:rsidRPr="009B372B" w:rsidRDefault="009B372B" w:rsidP="009B372B">
            <w:r w:rsidRPr="009B372B">
              <w:t>Ouvriers</w:t>
            </w:r>
          </w:p>
        </w:tc>
        <w:tc>
          <w:tcPr>
            <w:tcW w:w="0" w:type="auto"/>
            <w:vAlign w:val="center"/>
            <w:hideMark/>
          </w:tcPr>
          <w:p w14:paraId="5F85A2E2" w14:textId="77777777" w:rsidR="009B372B" w:rsidRPr="009B372B" w:rsidRDefault="009B372B" w:rsidP="009B372B">
            <w:r w:rsidRPr="009B372B">
              <w:rPr>
                <w:rFonts w:ascii="Segoe UI Emoji" w:hAnsi="Segoe UI Emoji" w:cs="Segoe UI Emoji"/>
              </w:rPr>
              <w:t>✅</w:t>
            </w:r>
            <w:r w:rsidRPr="009B372B">
              <w:t xml:space="preserve"> Oui</w:t>
            </w:r>
          </w:p>
        </w:tc>
      </w:tr>
      <w:tr w:rsidR="009B372B" w:rsidRPr="009B372B" w14:paraId="1E129F09" w14:textId="77777777" w:rsidTr="009B372B">
        <w:trPr>
          <w:tblCellSpacing w:w="15" w:type="dxa"/>
        </w:trPr>
        <w:tc>
          <w:tcPr>
            <w:tcW w:w="0" w:type="auto"/>
            <w:vAlign w:val="center"/>
            <w:hideMark/>
          </w:tcPr>
          <w:p w14:paraId="74773294" w14:textId="77777777" w:rsidR="009B372B" w:rsidRPr="009B372B" w:rsidRDefault="009B372B" w:rsidP="009B372B">
            <w:r w:rsidRPr="009B372B">
              <w:t>2614</w:t>
            </w:r>
          </w:p>
        </w:tc>
        <w:tc>
          <w:tcPr>
            <w:tcW w:w="0" w:type="auto"/>
            <w:vAlign w:val="center"/>
            <w:hideMark/>
          </w:tcPr>
          <w:p w14:paraId="1BDC40E4" w14:textId="77777777" w:rsidR="009B372B" w:rsidRPr="009B372B" w:rsidRDefault="009B372B" w:rsidP="009B372B">
            <w:r w:rsidRPr="009B372B">
              <w:t>Employés, techniciens et agents de maîtrise (ETAM) des travaux publics</w:t>
            </w:r>
          </w:p>
        </w:tc>
        <w:tc>
          <w:tcPr>
            <w:tcW w:w="0" w:type="auto"/>
            <w:vAlign w:val="center"/>
            <w:hideMark/>
          </w:tcPr>
          <w:p w14:paraId="6BB23EAC" w14:textId="77777777" w:rsidR="009B372B" w:rsidRPr="009B372B" w:rsidRDefault="009B372B" w:rsidP="009B372B">
            <w:r w:rsidRPr="009B372B">
              <w:t>ETAM</w:t>
            </w:r>
          </w:p>
        </w:tc>
        <w:tc>
          <w:tcPr>
            <w:tcW w:w="0" w:type="auto"/>
            <w:vAlign w:val="center"/>
            <w:hideMark/>
          </w:tcPr>
          <w:p w14:paraId="301B3024" w14:textId="77777777" w:rsidR="009B372B" w:rsidRPr="009B372B" w:rsidRDefault="009B372B" w:rsidP="009B372B">
            <w:r w:rsidRPr="009B372B">
              <w:rPr>
                <w:rFonts w:ascii="Segoe UI Emoji" w:hAnsi="Segoe UI Emoji" w:cs="Segoe UI Emoji"/>
              </w:rPr>
              <w:t>✅</w:t>
            </w:r>
            <w:r w:rsidRPr="009B372B">
              <w:t xml:space="preserve"> Oui</w:t>
            </w:r>
          </w:p>
        </w:tc>
      </w:tr>
      <w:tr w:rsidR="009B372B" w:rsidRPr="009B372B" w14:paraId="0727107A" w14:textId="77777777" w:rsidTr="009B372B">
        <w:trPr>
          <w:tblCellSpacing w:w="15" w:type="dxa"/>
        </w:trPr>
        <w:tc>
          <w:tcPr>
            <w:tcW w:w="0" w:type="auto"/>
            <w:vAlign w:val="center"/>
            <w:hideMark/>
          </w:tcPr>
          <w:p w14:paraId="4B6BDA76" w14:textId="77777777" w:rsidR="009B372B" w:rsidRPr="009B372B" w:rsidRDefault="009B372B" w:rsidP="009B372B">
            <w:r w:rsidRPr="009B372B">
              <w:t>3212</w:t>
            </w:r>
          </w:p>
        </w:tc>
        <w:tc>
          <w:tcPr>
            <w:tcW w:w="0" w:type="auto"/>
            <w:vAlign w:val="center"/>
            <w:hideMark/>
          </w:tcPr>
          <w:p w14:paraId="03A8B192" w14:textId="77777777" w:rsidR="009B372B" w:rsidRPr="009B372B" w:rsidRDefault="009B372B" w:rsidP="009B372B">
            <w:r w:rsidRPr="009B372B">
              <w:t>Cadres des travaux publics</w:t>
            </w:r>
          </w:p>
        </w:tc>
        <w:tc>
          <w:tcPr>
            <w:tcW w:w="0" w:type="auto"/>
            <w:vAlign w:val="center"/>
            <w:hideMark/>
          </w:tcPr>
          <w:p w14:paraId="79B0D333" w14:textId="77777777" w:rsidR="009B372B" w:rsidRPr="009B372B" w:rsidRDefault="009B372B" w:rsidP="009B372B">
            <w:r w:rsidRPr="009B372B">
              <w:t>Cadres</w:t>
            </w:r>
          </w:p>
        </w:tc>
        <w:tc>
          <w:tcPr>
            <w:tcW w:w="0" w:type="auto"/>
            <w:vAlign w:val="center"/>
            <w:hideMark/>
          </w:tcPr>
          <w:p w14:paraId="0FA34F54" w14:textId="77777777" w:rsidR="009B372B" w:rsidRPr="009B372B" w:rsidRDefault="009B372B" w:rsidP="009B372B">
            <w:r w:rsidRPr="009B372B">
              <w:rPr>
                <w:rFonts w:ascii="Segoe UI Emoji" w:hAnsi="Segoe UI Emoji" w:cs="Segoe UI Emoji"/>
              </w:rPr>
              <w:t>✅</w:t>
            </w:r>
            <w:r w:rsidRPr="009B372B">
              <w:t xml:space="preserve"> Oui</w:t>
            </w:r>
          </w:p>
        </w:tc>
      </w:tr>
    </w:tbl>
    <w:p w14:paraId="4384F30F" w14:textId="77777777" w:rsidR="006B2DFD" w:rsidRDefault="006B2DFD"/>
    <w:p w14:paraId="69B81660" w14:textId="77777777" w:rsidR="00433379" w:rsidRDefault="00433379">
      <w:pPr>
        <w:rPr>
          <w:rFonts w:ascii="Times New Roman" w:hAnsi="Times New Roman" w:cs="Times New Roman"/>
          <w:b/>
          <w:bCs/>
        </w:rPr>
      </w:pPr>
      <w:r>
        <w:rPr>
          <w:rFonts w:ascii="Times New Roman" w:hAnsi="Times New Roman" w:cs="Times New Roman"/>
          <w:b/>
          <w:bCs/>
        </w:rPr>
        <w:br w:type="page"/>
      </w:r>
    </w:p>
    <w:p w14:paraId="2B992B99" w14:textId="77777777" w:rsidR="00515455" w:rsidRPr="00515455" w:rsidRDefault="0062197B">
      <w:pPr>
        <w:rPr>
          <w:rFonts w:ascii="Times New Roman" w:hAnsi="Times New Roman" w:cs="Times New Roman"/>
        </w:rPr>
      </w:pPr>
      <w:r w:rsidRPr="00515455">
        <w:rPr>
          <w:rFonts w:ascii="Times New Roman" w:hAnsi="Times New Roman" w:cs="Times New Roman"/>
        </w:rPr>
        <w:lastRenderedPageBreak/>
        <w:t xml:space="preserve">Sur l’articulation entre les accords régionaux et les accords passés au niveau de la branche Cf </w:t>
      </w:r>
      <w:r w:rsidR="00515455" w:rsidRPr="00515455">
        <w:rPr>
          <w:rFonts w:ascii="Times New Roman" w:hAnsi="Times New Roman" w:cs="Times New Roman"/>
        </w:rPr>
        <w:t xml:space="preserve">l’étude des différentes conventions. </w:t>
      </w:r>
    </w:p>
    <w:p w14:paraId="29498A32" w14:textId="77777777" w:rsidR="00515455" w:rsidRDefault="00515455">
      <w:pPr>
        <w:rPr>
          <w:rFonts w:ascii="Times New Roman" w:hAnsi="Times New Roman" w:cs="Times New Roman"/>
          <w:b/>
          <w:bCs/>
        </w:rPr>
      </w:pPr>
    </w:p>
    <w:p w14:paraId="43CEC75F" w14:textId="2E2A569D" w:rsidR="009B372B" w:rsidRPr="009B372B" w:rsidRDefault="009B372B">
      <w:pPr>
        <w:rPr>
          <w:rFonts w:ascii="Times New Roman" w:hAnsi="Times New Roman" w:cs="Times New Roman"/>
          <w:b/>
          <w:bCs/>
        </w:rPr>
      </w:pPr>
      <w:r w:rsidRPr="009B372B">
        <w:rPr>
          <w:rFonts w:ascii="Times New Roman" w:hAnsi="Times New Roman" w:cs="Times New Roman"/>
          <w:b/>
          <w:bCs/>
        </w:rPr>
        <w:t xml:space="preserve">Rappel </w:t>
      </w:r>
    </w:p>
    <w:p w14:paraId="01097778" w14:textId="77777777" w:rsidR="009B372B" w:rsidRPr="009B372B" w:rsidRDefault="009B372B" w:rsidP="009B372B">
      <w:pPr>
        <w:rPr>
          <w:rFonts w:ascii="Times New Roman" w:hAnsi="Times New Roman" w:cs="Times New Roman"/>
        </w:rPr>
      </w:pPr>
      <w:r w:rsidRPr="009B372B">
        <w:rPr>
          <w:rFonts w:ascii="Times New Roman" w:hAnsi="Times New Roman" w:cs="Times New Roman"/>
        </w:rPr>
        <w:t>Qu’est-ce qu’un arrêté d’extension ?</w:t>
      </w:r>
    </w:p>
    <w:p w14:paraId="6338EDE4" w14:textId="77777777" w:rsidR="009B372B" w:rsidRPr="009B372B" w:rsidRDefault="009B372B" w:rsidP="009B372B">
      <w:pPr>
        <w:rPr>
          <w:rFonts w:ascii="Times New Roman" w:hAnsi="Times New Roman" w:cs="Times New Roman"/>
        </w:rPr>
      </w:pPr>
      <w:r w:rsidRPr="009B372B">
        <w:rPr>
          <w:rFonts w:ascii="Times New Roman" w:hAnsi="Times New Roman" w:cs="Times New Roman"/>
        </w:rPr>
        <w:t>Un arrêté d’extension est une décision du ministère du Travail qui rend une convention collective obligatoire pour toutes les entreprises relevant de son champ d’application, même si elles ne sont pas adhérentes à un syndicat signataire.</w:t>
      </w:r>
    </w:p>
    <w:p w14:paraId="1A0B1F9E" w14:textId="63BFBCBD" w:rsidR="009B372B" w:rsidRPr="009B372B" w:rsidRDefault="009B372B" w:rsidP="009B372B">
      <w:pPr>
        <w:numPr>
          <w:ilvl w:val="0"/>
          <w:numId w:val="1"/>
        </w:numPr>
        <w:rPr>
          <w:rFonts w:ascii="Times New Roman" w:hAnsi="Times New Roman" w:cs="Times New Roman"/>
        </w:rPr>
      </w:pPr>
      <w:r w:rsidRPr="009B372B">
        <w:rPr>
          <w:rFonts w:ascii="Times New Roman" w:hAnsi="Times New Roman" w:cs="Times New Roman"/>
        </w:rPr>
        <w:t xml:space="preserve"> Si une CCN est étendue, elle s’applique à toutes les entreprises du secteur concerné.</w:t>
      </w:r>
    </w:p>
    <w:p w14:paraId="37C8C2E5" w14:textId="4DB896D8" w:rsidR="009B372B" w:rsidRPr="009B372B" w:rsidRDefault="009B372B" w:rsidP="009B372B">
      <w:pPr>
        <w:numPr>
          <w:ilvl w:val="0"/>
          <w:numId w:val="1"/>
        </w:numPr>
        <w:rPr>
          <w:rFonts w:ascii="Times New Roman" w:hAnsi="Times New Roman" w:cs="Times New Roman"/>
        </w:rPr>
      </w:pPr>
      <w:r w:rsidRPr="009B372B">
        <w:rPr>
          <w:rFonts w:ascii="Times New Roman" w:hAnsi="Times New Roman" w:cs="Times New Roman"/>
        </w:rPr>
        <w:t xml:space="preserve"> Si une CCN n’est pas étendue, elle ne s’applique qu’aux entreprises adhérentes ou volontaires.</w:t>
      </w:r>
    </w:p>
    <w:p w14:paraId="2BE9A482" w14:textId="77777777" w:rsidR="009B372B" w:rsidRPr="009B372B" w:rsidRDefault="009B372B" w:rsidP="009B372B">
      <w:pPr>
        <w:rPr>
          <w:rFonts w:ascii="Times New Roman" w:hAnsi="Times New Roman" w:cs="Times New Roman"/>
        </w:rPr>
      </w:pPr>
      <w:r w:rsidRPr="009B372B">
        <w:rPr>
          <w:rFonts w:ascii="Times New Roman" w:hAnsi="Times New Roman" w:cs="Times New Roman"/>
        </w:rPr>
        <w:t xml:space="preserve">Dans le BTP, </w:t>
      </w:r>
      <w:r w:rsidRPr="006933BD">
        <w:rPr>
          <w:rFonts w:ascii="Times New Roman" w:hAnsi="Times New Roman" w:cs="Times New Roman"/>
          <w:b/>
          <w:bCs/>
        </w:rPr>
        <w:t>toutes les conventions collectives principales sont étendues</w:t>
      </w:r>
      <w:r w:rsidRPr="009B372B">
        <w:rPr>
          <w:rFonts w:ascii="Times New Roman" w:hAnsi="Times New Roman" w:cs="Times New Roman"/>
        </w:rPr>
        <w:t>, ce qui signifie qu’elles sont obligatoires pour les entreprises concernées.</w:t>
      </w:r>
    </w:p>
    <w:p w14:paraId="3AEE2A5E" w14:textId="77777777" w:rsidR="00072E7E" w:rsidRPr="00072E7E" w:rsidRDefault="00072E7E" w:rsidP="00072E7E">
      <w:pPr>
        <w:rPr>
          <w:rFonts w:ascii="Times New Roman" w:hAnsi="Times New Roman" w:cs="Times New Roman"/>
        </w:rPr>
      </w:pPr>
      <w:r w:rsidRPr="00072E7E">
        <w:rPr>
          <w:rFonts w:ascii="Times New Roman" w:hAnsi="Times New Roman" w:cs="Times New Roman"/>
        </w:rPr>
        <w:t>L’</w:t>
      </w:r>
      <w:r w:rsidRPr="00072E7E">
        <w:rPr>
          <w:rFonts w:ascii="Times New Roman" w:hAnsi="Times New Roman" w:cs="Times New Roman"/>
          <w:b/>
          <w:bCs/>
        </w:rPr>
        <w:t>extension d’un accord collectif</w:t>
      </w:r>
      <w:r w:rsidRPr="00072E7E">
        <w:rPr>
          <w:rFonts w:ascii="Times New Roman" w:hAnsi="Times New Roman" w:cs="Times New Roman"/>
        </w:rPr>
        <w:t xml:space="preserve"> est une procédure officielle qui permet de rendre </w:t>
      </w:r>
      <w:r w:rsidRPr="00072E7E">
        <w:rPr>
          <w:rFonts w:ascii="Times New Roman" w:hAnsi="Times New Roman" w:cs="Times New Roman"/>
          <w:b/>
          <w:bCs/>
        </w:rPr>
        <w:t>obligatoires</w:t>
      </w:r>
      <w:r w:rsidRPr="00072E7E">
        <w:rPr>
          <w:rFonts w:ascii="Times New Roman" w:hAnsi="Times New Roman" w:cs="Times New Roman"/>
        </w:rPr>
        <w:t xml:space="preserve"> les dispositions d’un accord (de branche, régional ou interprofessionnel) à </w:t>
      </w:r>
      <w:r w:rsidRPr="00072E7E">
        <w:rPr>
          <w:rFonts w:ascii="Times New Roman" w:hAnsi="Times New Roman" w:cs="Times New Roman"/>
          <w:b/>
          <w:bCs/>
        </w:rPr>
        <w:t>toutes les entreprises</w:t>
      </w:r>
      <w:r w:rsidRPr="00072E7E">
        <w:rPr>
          <w:rFonts w:ascii="Times New Roman" w:hAnsi="Times New Roman" w:cs="Times New Roman"/>
        </w:rPr>
        <w:t xml:space="preserve"> du secteur concerné, même si elles ne sont pas adhérentes aux organisations signataires.</w:t>
      </w:r>
    </w:p>
    <w:p w14:paraId="5DDC2267" w14:textId="4E26BCDE" w:rsidR="00072E7E" w:rsidRPr="00072E7E" w:rsidRDefault="00072E7E" w:rsidP="00072E7E">
      <w:pPr>
        <w:rPr>
          <w:rFonts w:ascii="Times New Roman" w:hAnsi="Times New Roman" w:cs="Times New Roman"/>
          <w:b/>
          <w:bCs/>
        </w:rPr>
      </w:pPr>
      <w:r w:rsidRPr="00072E7E">
        <w:rPr>
          <w:rFonts w:ascii="Times New Roman" w:hAnsi="Times New Roman" w:cs="Times New Roman"/>
          <w:b/>
          <w:bCs/>
        </w:rPr>
        <w:t>Pourquoi étendre un accord ?</w:t>
      </w:r>
    </w:p>
    <w:p w14:paraId="6120A37B" w14:textId="77777777" w:rsidR="00072E7E" w:rsidRPr="00072E7E" w:rsidRDefault="00072E7E" w:rsidP="00072E7E">
      <w:r w:rsidRPr="00072E7E">
        <w:rPr>
          <w:rFonts w:ascii="Times New Roman" w:hAnsi="Times New Roman" w:cs="Times New Roman"/>
        </w:rPr>
        <w:t xml:space="preserve">Sans extension, un accord ne s’applique qu’aux entreprises </w:t>
      </w:r>
      <w:r w:rsidRPr="00072E7E">
        <w:rPr>
          <w:rFonts w:ascii="Times New Roman" w:hAnsi="Times New Roman" w:cs="Times New Roman"/>
          <w:b/>
          <w:bCs/>
        </w:rPr>
        <w:t>adhérentes</w:t>
      </w:r>
      <w:r w:rsidRPr="00072E7E">
        <w:rPr>
          <w:rFonts w:ascii="Times New Roman" w:hAnsi="Times New Roman" w:cs="Times New Roman"/>
        </w:rPr>
        <w:t xml:space="preserve"> aux organisations patronales</w:t>
      </w:r>
      <w:r w:rsidRPr="00072E7E">
        <w:t xml:space="preserve"> </w:t>
      </w:r>
      <w:r w:rsidRPr="00072E7E">
        <w:rPr>
          <w:rFonts w:ascii="Times New Roman" w:hAnsi="Times New Roman" w:cs="Times New Roman"/>
        </w:rPr>
        <w:t>signataires. L’extension vise à :</w:t>
      </w:r>
    </w:p>
    <w:p w14:paraId="7106C932" w14:textId="77777777" w:rsidR="00167E62" w:rsidRPr="00167E62" w:rsidRDefault="00167E62" w:rsidP="00167E62">
      <w:pPr>
        <w:numPr>
          <w:ilvl w:val="0"/>
          <w:numId w:val="2"/>
        </w:numPr>
        <w:rPr>
          <w:rFonts w:ascii="Times New Roman" w:hAnsi="Times New Roman" w:cs="Times New Roman"/>
        </w:rPr>
      </w:pPr>
      <w:r w:rsidRPr="00167E62">
        <w:rPr>
          <w:rFonts w:ascii="Times New Roman" w:hAnsi="Times New Roman" w:cs="Times New Roman"/>
        </w:rPr>
        <w:t xml:space="preserve">Éviter les </w:t>
      </w:r>
      <w:r w:rsidRPr="00167E62">
        <w:rPr>
          <w:rFonts w:ascii="Times New Roman" w:hAnsi="Times New Roman" w:cs="Times New Roman"/>
          <w:b/>
          <w:bCs/>
        </w:rPr>
        <w:t>distorsions de concurrence</w:t>
      </w:r>
      <w:r w:rsidRPr="00167E62">
        <w:rPr>
          <w:rFonts w:ascii="Times New Roman" w:hAnsi="Times New Roman" w:cs="Times New Roman"/>
        </w:rPr>
        <w:t xml:space="preserve"> entre entreprises</w:t>
      </w:r>
    </w:p>
    <w:p w14:paraId="2C617C40" w14:textId="77777777" w:rsidR="00167E62" w:rsidRPr="00167E62" w:rsidRDefault="00167E62" w:rsidP="00167E62">
      <w:pPr>
        <w:numPr>
          <w:ilvl w:val="0"/>
          <w:numId w:val="2"/>
        </w:numPr>
        <w:rPr>
          <w:rFonts w:ascii="Times New Roman" w:hAnsi="Times New Roman" w:cs="Times New Roman"/>
        </w:rPr>
      </w:pPr>
      <w:r w:rsidRPr="00167E62">
        <w:rPr>
          <w:rFonts w:ascii="Times New Roman" w:hAnsi="Times New Roman" w:cs="Times New Roman"/>
        </w:rPr>
        <w:t xml:space="preserve">Garantir un </w:t>
      </w:r>
      <w:r w:rsidRPr="00167E62">
        <w:rPr>
          <w:rFonts w:ascii="Times New Roman" w:hAnsi="Times New Roman" w:cs="Times New Roman"/>
          <w:b/>
          <w:bCs/>
        </w:rPr>
        <w:t>socle social commun</w:t>
      </w:r>
    </w:p>
    <w:p w14:paraId="32E86B1B" w14:textId="77777777" w:rsidR="00167E62" w:rsidRPr="00167E62" w:rsidRDefault="00167E62" w:rsidP="00167E62">
      <w:pPr>
        <w:numPr>
          <w:ilvl w:val="0"/>
          <w:numId w:val="2"/>
        </w:numPr>
        <w:rPr>
          <w:rFonts w:ascii="Times New Roman" w:hAnsi="Times New Roman" w:cs="Times New Roman"/>
        </w:rPr>
      </w:pPr>
      <w:r w:rsidRPr="00167E62">
        <w:rPr>
          <w:rFonts w:ascii="Times New Roman" w:hAnsi="Times New Roman" w:cs="Times New Roman"/>
        </w:rPr>
        <w:t xml:space="preserve">Renforcer la </w:t>
      </w:r>
      <w:r w:rsidRPr="00167E62">
        <w:rPr>
          <w:rFonts w:ascii="Times New Roman" w:hAnsi="Times New Roman" w:cs="Times New Roman"/>
          <w:b/>
          <w:bCs/>
        </w:rPr>
        <w:t>portée des négociations collectives</w:t>
      </w:r>
    </w:p>
    <w:p w14:paraId="5EED15D3" w14:textId="77777777" w:rsidR="00F2358E" w:rsidRDefault="00F2358E" w:rsidP="00167E62">
      <w:pPr>
        <w:rPr>
          <w:rFonts w:ascii="Segoe UI Emoji" w:hAnsi="Segoe UI Emoji" w:cs="Segoe UI Emoji"/>
          <w:b/>
          <w:bCs/>
        </w:rPr>
      </w:pPr>
    </w:p>
    <w:p w14:paraId="62D95DAA" w14:textId="77777777" w:rsidR="00F2358E" w:rsidRPr="00F2358E" w:rsidRDefault="00F2358E" w:rsidP="00F2358E">
      <w:pPr>
        <w:rPr>
          <w:rFonts w:ascii="Times New Roman" w:hAnsi="Times New Roman" w:cs="Times New Roman"/>
          <w:b/>
          <w:bCs/>
        </w:rPr>
      </w:pPr>
      <w:r w:rsidRPr="00F2358E">
        <w:rPr>
          <w:rFonts w:ascii="Times New Roman" w:hAnsi="Times New Roman" w:cs="Times New Roman"/>
          <w:b/>
          <w:bCs/>
        </w:rPr>
        <w:t>Étapes de la procédure d’extension</w:t>
      </w:r>
    </w:p>
    <w:p w14:paraId="47EB23CA" w14:textId="77777777" w:rsidR="00F2358E" w:rsidRPr="00F2358E" w:rsidRDefault="00F2358E" w:rsidP="00F2358E">
      <w:pPr>
        <w:rPr>
          <w:rFonts w:ascii="Times New Roman" w:hAnsi="Times New Roman" w:cs="Times New Roman"/>
        </w:rPr>
      </w:pPr>
      <w:r w:rsidRPr="00F2358E">
        <w:rPr>
          <w:rFonts w:ascii="Times New Roman" w:hAnsi="Times New Roman" w:cs="Times New Roman"/>
        </w:rPr>
        <w:t>Voici comment cela se passe concrètement :</w:t>
      </w:r>
    </w:p>
    <w:p w14:paraId="22C8DED7" w14:textId="77777777" w:rsidR="00F2358E" w:rsidRPr="00F2358E" w:rsidRDefault="00F2358E" w:rsidP="00F2358E">
      <w:pPr>
        <w:rPr>
          <w:rFonts w:ascii="Times New Roman" w:hAnsi="Times New Roman" w:cs="Times New Roman"/>
          <w:b/>
          <w:bCs/>
        </w:rPr>
      </w:pPr>
      <w:r w:rsidRPr="00F2358E">
        <w:rPr>
          <w:rFonts w:ascii="Times New Roman" w:hAnsi="Times New Roman" w:cs="Times New Roman"/>
          <w:b/>
          <w:bCs/>
        </w:rPr>
        <w:t>1. Dépôt de l’accord</w:t>
      </w:r>
    </w:p>
    <w:p w14:paraId="0F19AB82" w14:textId="77777777" w:rsidR="00F2358E" w:rsidRPr="00F2358E" w:rsidRDefault="00F2358E" w:rsidP="00F2358E">
      <w:pPr>
        <w:numPr>
          <w:ilvl w:val="0"/>
          <w:numId w:val="3"/>
        </w:numPr>
        <w:rPr>
          <w:rFonts w:ascii="Times New Roman" w:hAnsi="Times New Roman" w:cs="Times New Roman"/>
        </w:rPr>
      </w:pPr>
      <w:r w:rsidRPr="00F2358E">
        <w:rPr>
          <w:rFonts w:ascii="Times New Roman" w:hAnsi="Times New Roman" w:cs="Times New Roman"/>
        </w:rPr>
        <w:t>L’accord est signé par les partenaires sociaux</w:t>
      </w:r>
    </w:p>
    <w:p w14:paraId="66D5660D" w14:textId="77777777" w:rsidR="00F2358E" w:rsidRPr="00F2358E" w:rsidRDefault="00F2358E" w:rsidP="00F2358E">
      <w:pPr>
        <w:numPr>
          <w:ilvl w:val="0"/>
          <w:numId w:val="3"/>
        </w:numPr>
        <w:rPr>
          <w:rFonts w:ascii="Times New Roman" w:hAnsi="Times New Roman" w:cs="Times New Roman"/>
        </w:rPr>
      </w:pPr>
      <w:r w:rsidRPr="00F2358E">
        <w:rPr>
          <w:rFonts w:ascii="Times New Roman" w:hAnsi="Times New Roman" w:cs="Times New Roman"/>
        </w:rPr>
        <w:t xml:space="preserve">Il est déposé à la </w:t>
      </w:r>
      <w:r w:rsidRPr="00F2358E">
        <w:rPr>
          <w:rFonts w:ascii="Times New Roman" w:hAnsi="Times New Roman" w:cs="Times New Roman"/>
          <w:b/>
          <w:bCs/>
        </w:rPr>
        <w:t>Direction générale du travail (DGT)</w:t>
      </w:r>
      <w:r w:rsidRPr="00F2358E">
        <w:rPr>
          <w:rFonts w:ascii="Times New Roman" w:hAnsi="Times New Roman" w:cs="Times New Roman"/>
        </w:rPr>
        <w:t xml:space="preserve"> avec une demande d’extension</w:t>
      </w:r>
    </w:p>
    <w:p w14:paraId="23B8FA09" w14:textId="77777777" w:rsidR="00F2358E" w:rsidRPr="00F2358E" w:rsidRDefault="00F2358E" w:rsidP="00F2358E">
      <w:pPr>
        <w:rPr>
          <w:rFonts w:ascii="Times New Roman" w:hAnsi="Times New Roman" w:cs="Times New Roman"/>
          <w:b/>
          <w:bCs/>
        </w:rPr>
      </w:pPr>
      <w:r w:rsidRPr="00F2358E">
        <w:rPr>
          <w:rFonts w:ascii="Times New Roman" w:hAnsi="Times New Roman" w:cs="Times New Roman"/>
          <w:b/>
          <w:bCs/>
        </w:rPr>
        <w:t>2. Publication d’un avis préalable</w:t>
      </w:r>
    </w:p>
    <w:p w14:paraId="0A5CE1AC" w14:textId="77777777" w:rsidR="00F2358E" w:rsidRPr="00F2358E" w:rsidRDefault="00F2358E" w:rsidP="00F2358E">
      <w:pPr>
        <w:numPr>
          <w:ilvl w:val="0"/>
          <w:numId w:val="4"/>
        </w:numPr>
        <w:rPr>
          <w:rFonts w:ascii="Times New Roman" w:hAnsi="Times New Roman" w:cs="Times New Roman"/>
        </w:rPr>
      </w:pPr>
      <w:r w:rsidRPr="00F2358E">
        <w:rPr>
          <w:rFonts w:ascii="Times New Roman" w:hAnsi="Times New Roman" w:cs="Times New Roman"/>
        </w:rPr>
        <w:t xml:space="preserve">Un </w:t>
      </w:r>
      <w:r w:rsidRPr="00F2358E">
        <w:rPr>
          <w:rFonts w:ascii="Times New Roman" w:hAnsi="Times New Roman" w:cs="Times New Roman"/>
          <w:b/>
          <w:bCs/>
        </w:rPr>
        <w:t>avis d’extension</w:t>
      </w:r>
      <w:r w:rsidRPr="00F2358E">
        <w:rPr>
          <w:rFonts w:ascii="Times New Roman" w:hAnsi="Times New Roman" w:cs="Times New Roman"/>
        </w:rPr>
        <w:t xml:space="preserve"> est publié au </w:t>
      </w:r>
      <w:r w:rsidRPr="00F2358E">
        <w:rPr>
          <w:rFonts w:ascii="Times New Roman" w:hAnsi="Times New Roman" w:cs="Times New Roman"/>
          <w:i/>
          <w:iCs/>
        </w:rPr>
        <w:t>Journal officiel</w:t>
      </w:r>
    </w:p>
    <w:p w14:paraId="284A3204" w14:textId="77777777" w:rsidR="00F2358E" w:rsidRPr="00F2358E" w:rsidRDefault="00F2358E" w:rsidP="00F2358E">
      <w:pPr>
        <w:numPr>
          <w:ilvl w:val="0"/>
          <w:numId w:val="4"/>
        </w:numPr>
        <w:rPr>
          <w:rFonts w:ascii="Times New Roman" w:hAnsi="Times New Roman" w:cs="Times New Roman"/>
        </w:rPr>
      </w:pPr>
      <w:r w:rsidRPr="00F2358E">
        <w:rPr>
          <w:rFonts w:ascii="Times New Roman" w:hAnsi="Times New Roman" w:cs="Times New Roman"/>
        </w:rPr>
        <w:t xml:space="preserve">Les parties intéressées (syndicats, employeurs, citoyens) peuvent formuler des </w:t>
      </w:r>
      <w:r w:rsidRPr="00F2358E">
        <w:rPr>
          <w:rFonts w:ascii="Times New Roman" w:hAnsi="Times New Roman" w:cs="Times New Roman"/>
          <w:b/>
          <w:bCs/>
        </w:rPr>
        <w:t>observations</w:t>
      </w:r>
      <w:r w:rsidRPr="00F2358E">
        <w:rPr>
          <w:rFonts w:ascii="Times New Roman" w:hAnsi="Times New Roman" w:cs="Times New Roman"/>
        </w:rPr>
        <w:t xml:space="preserve"> dans un délai de </w:t>
      </w:r>
      <w:r w:rsidRPr="00F2358E">
        <w:rPr>
          <w:rFonts w:ascii="Times New Roman" w:hAnsi="Times New Roman" w:cs="Times New Roman"/>
          <w:b/>
          <w:bCs/>
        </w:rPr>
        <w:t>15 jours</w:t>
      </w:r>
    </w:p>
    <w:p w14:paraId="416D9593" w14:textId="77777777" w:rsidR="00F2358E" w:rsidRPr="00F2358E" w:rsidRDefault="00F2358E" w:rsidP="00F2358E">
      <w:pPr>
        <w:rPr>
          <w:rFonts w:ascii="Times New Roman" w:hAnsi="Times New Roman" w:cs="Times New Roman"/>
          <w:b/>
          <w:bCs/>
        </w:rPr>
      </w:pPr>
      <w:r w:rsidRPr="00F2358E">
        <w:rPr>
          <w:rFonts w:ascii="Times New Roman" w:hAnsi="Times New Roman" w:cs="Times New Roman"/>
          <w:b/>
          <w:bCs/>
        </w:rPr>
        <w:t>3. Analyse par la DGT</w:t>
      </w:r>
    </w:p>
    <w:p w14:paraId="2410053E" w14:textId="77777777" w:rsidR="00F2358E" w:rsidRPr="00F2358E" w:rsidRDefault="00F2358E" w:rsidP="00F2358E">
      <w:pPr>
        <w:numPr>
          <w:ilvl w:val="0"/>
          <w:numId w:val="5"/>
        </w:numPr>
        <w:rPr>
          <w:rFonts w:ascii="Times New Roman" w:hAnsi="Times New Roman" w:cs="Times New Roman"/>
        </w:rPr>
      </w:pPr>
      <w:r w:rsidRPr="00F2358E">
        <w:rPr>
          <w:rFonts w:ascii="Times New Roman" w:hAnsi="Times New Roman" w:cs="Times New Roman"/>
        </w:rPr>
        <w:t xml:space="preserve">La DGT peut consulter un </w:t>
      </w:r>
      <w:r w:rsidRPr="00F2358E">
        <w:rPr>
          <w:rFonts w:ascii="Times New Roman" w:hAnsi="Times New Roman" w:cs="Times New Roman"/>
          <w:b/>
          <w:bCs/>
        </w:rPr>
        <w:t>groupe d’experts</w:t>
      </w:r>
      <w:r w:rsidRPr="00F2358E">
        <w:rPr>
          <w:rFonts w:ascii="Times New Roman" w:hAnsi="Times New Roman" w:cs="Times New Roman"/>
        </w:rPr>
        <w:t xml:space="preserve"> pour évaluer les effets économiques et sociaux</w:t>
      </w:r>
    </w:p>
    <w:p w14:paraId="15A5D106" w14:textId="77777777" w:rsidR="00F2358E" w:rsidRPr="00F2358E" w:rsidRDefault="00F2358E" w:rsidP="00F2358E">
      <w:pPr>
        <w:numPr>
          <w:ilvl w:val="0"/>
          <w:numId w:val="5"/>
        </w:numPr>
        <w:rPr>
          <w:rFonts w:ascii="Times New Roman" w:hAnsi="Times New Roman" w:cs="Times New Roman"/>
        </w:rPr>
      </w:pPr>
      <w:r w:rsidRPr="00F2358E">
        <w:rPr>
          <w:rFonts w:ascii="Times New Roman" w:hAnsi="Times New Roman" w:cs="Times New Roman"/>
        </w:rPr>
        <w:t>Elle recueille les avis et prépare une synthèse</w:t>
      </w:r>
    </w:p>
    <w:p w14:paraId="1550A12F" w14:textId="77777777" w:rsidR="00F2358E" w:rsidRPr="00F2358E" w:rsidRDefault="00F2358E" w:rsidP="00F2358E">
      <w:pPr>
        <w:rPr>
          <w:rFonts w:ascii="Times New Roman" w:hAnsi="Times New Roman" w:cs="Times New Roman"/>
          <w:b/>
          <w:bCs/>
        </w:rPr>
      </w:pPr>
      <w:r w:rsidRPr="00F2358E">
        <w:rPr>
          <w:rFonts w:ascii="Times New Roman" w:hAnsi="Times New Roman" w:cs="Times New Roman"/>
          <w:b/>
          <w:bCs/>
        </w:rPr>
        <w:lastRenderedPageBreak/>
        <w:t>4. Consultation de la sous-commission des conventions et accords</w:t>
      </w:r>
    </w:p>
    <w:p w14:paraId="51443EEC" w14:textId="77777777" w:rsidR="00F2358E" w:rsidRPr="00F2358E" w:rsidRDefault="00F2358E" w:rsidP="00F2358E">
      <w:pPr>
        <w:numPr>
          <w:ilvl w:val="0"/>
          <w:numId w:val="6"/>
        </w:numPr>
        <w:rPr>
          <w:rFonts w:ascii="Times New Roman" w:hAnsi="Times New Roman" w:cs="Times New Roman"/>
        </w:rPr>
      </w:pPr>
      <w:r w:rsidRPr="00F2358E">
        <w:rPr>
          <w:rFonts w:ascii="Times New Roman" w:hAnsi="Times New Roman" w:cs="Times New Roman"/>
        </w:rPr>
        <w:t>Cette commission réunit les représentants des syndicats et des employeurs</w:t>
      </w:r>
    </w:p>
    <w:p w14:paraId="422EBC13" w14:textId="77777777" w:rsidR="00F2358E" w:rsidRPr="00F2358E" w:rsidRDefault="00F2358E" w:rsidP="00F2358E">
      <w:pPr>
        <w:numPr>
          <w:ilvl w:val="0"/>
          <w:numId w:val="6"/>
        </w:numPr>
        <w:rPr>
          <w:rFonts w:ascii="Times New Roman" w:hAnsi="Times New Roman" w:cs="Times New Roman"/>
        </w:rPr>
      </w:pPr>
      <w:r w:rsidRPr="00F2358E">
        <w:rPr>
          <w:rFonts w:ascii="Times New Roman" w:hAnsi="Times New Roman" w:cs="Times New Roman"/>
        </w:rPr>
        <w:t xml:space="preserve">Elle rend un </w:t>
      </w:r>
      <w:r w:rsidRPr="00F2358E">
        <w:rPr>
          <w:rFonts w:ascii="Times New Roman" w:hAnsi="Times New Roman" w:cs="Times New Roman"/>
          <w:b/>
          <w:bCs/>
        </w:rPr>
        <w:t>avis consultatif</w:t>
      </w:r>
      <w:r w:rsidRPr="00F2358E">
        <w:rPr>
          <w:rFonts w:ascii="Times New Roman" w:hAnsi="Times New Roman" w:cs="Times New Roman"/>
        </w:rPr>
        <w:t xml:space="preserve"> sur l’opportunité d’étendre l’accord</w:t>
      </w:r>
    </w:p>
    <w:p w14:paraId="15F204AA" w14:textId="77777777" w:rsidR="00F2358E" w:rsidRPr="00F2358E" w:rsidRDefault="00F2358E" w:rsidP="00F2358E">
      <w:pPr>
        <w:rPr>
          <w:rFonts w:ascii="Times New Roman" w:hAnsi="Times New Roman" w:cs="Times New Roman"/>
          <w:b/>
          <w:bCs/>
        </w:rPr>
      </w:pPr>
      <w:r w:rsidRPr="00F2358E">
        <w:rPr>
          <w:rFonts w:ascii="Times New Roman" w:hAnsi="Times New Roman" w:cs="Times New Roman"/>
          <w:b/>
          <w:bCs/>
        </w:rPr>
        <w:t>5. Décision ministérielle</w:t>
      </w:r>
    </w:p>
    <w:p w14:paraId="00A9A67C" w14:textId="77777777" w:rsidR="00F2358E" w:rsidRPr="00F2358E" w:rsidRDefault="00F2358E" w:rsidP="00F2358E">
      <w:pPr>
        <w:numPr>
          <w:ilvl w:val="0"/>
          <w:numId w:val="7"/>
        </w:numPr>
        <w:rPr>
          <w:rFonts w:ascii="Times New Roman" w:hAnsi="Times New Roman" w:cs="Times New Roman"/>
        </w:rPr>
      </w:pPr>
      <w:r w:rsidRPr="00F2358E">
        <w:rPr>
          <w:rFonts w:ascii="Times New Roman" w:hAnsi="Times New Roman" w:cs="Times New Roman"/>
        </w:rPr>
        <w:t xml:space="preserve">Le </w:t>
      </w:r>
      <w:r w:rsidRPr="00F2358E">
        <w:rPr>
          <w:rFonts w:ascii="Times New Roman" w:hAnsi="Times New Roman" w:cs="Times New Roman"/>
          <w:b/>
          <w:bCs/>
        </w:rPr>
        <w:t>ministre du Travail</w:t>
      </w:r>
      <w:r w:rsidRPr="00F2358E">
        <w:rPr>
          <w:rFonts w:ascii="Times New Roman" w:hAnsi="Times New Roman" w:cs="Times New Roman"/>
        </w:rPr>
        <w:t xml:space="preserve"> prend un </w:t>
      </w:r>
      <w:r w:rsidRPr="00F2358E">
        <w:rPr>
          <w:rFonts w:ascii="Times New Roman" w:hAnsi="Times New Roman" w:cs="Times New Roman"/>
          <w:b/>
          <w:bCs/>
        </w:rPr>
        <w:t>arrêté d’extension</w:t>
      </w:r>
    </w:p>
    <w:p w14:paraId="0764836B" w14:textId="77777777" w:rsidR="00F2358E" w:rsidRPr="00F2358E" w:rsidRDefault="00F2358E" w:rsidP="00F2358E">
      <w:pPr>
        <w:numPr>
          <w:ilvl w:val="0"/>
          <w:numId w:val="7"/>
        </w:numPr>
        <w:rPr>
          <w:rFonts w:ascii="Times New Roman" w:hAnsi="Times New Roman" w:cs="Times New Roman"/>
        </w:rPr>
      </w:pPr>
      <w:r w:rsidRPr="00F2358E">
        <w:rPr>
          <w:rFonts w:ascii="Times New Roman" w:hAnsi="Times New Roman" w:cs="Times New Roman"/>
        </w:rPr>
        <w:t xml:space="preserve">L’accord devient </w:t>
      </w:r>
      <w:r w:rsidRPr="00F2358E">
        <w:rPr>
          <w:rFonts w:ascii="Times New Roman" w:hAnsi="Times New Roman" w:cs="Times New Roman"/>
          <w:b/>
          <w:bCs/>
        </w:rPr>
        <w:t>obligatoire</w:t>
      </w:r>
      <w:r w:rsidRPr="00F2358E">
        <w:rPr>
          <w:rFonts w:ascii="Times New Roman" w:hAnsi="Times New Roman" w:cs="Times New Roman"/>
        </w:rPr>
        <w:t xml:space="preserve"> pour toutes les entreprises du champ d’application</w:t>
      </w:r>
    </w:p>
    <w:p w14:paraId="39484150" w14:textId="77777777" w:rsidR="00F2358E" w:rsidRDefault="00F2358E" w:rsidP="00F2358E">
      <w:pPr>
        <w:rPr>
          <w:rFonts w:ascii="Segoe UI Emoji" w:hAnsi="Segoe UI Emoji" w:cs="Segoe UI Emoji"/>
        </w:rPr>
      </w:pPr>
    </w:p>
    <w:p w14:paraId="36126555" w14:textId="6BD72F8E" w:rsidR="00F2358E" w:rsidRDefault="00F2358E" w:rsidP="00F2358E">
      <w:pPr>
        <w:rPr>
          <w:rFonts w:ascii="Times New Roman" w:hAnsi="Times New Roman" w:cs="Times New Roman"/>
        </w:rPr>
      </w:pPr>
      <w:r w:rsidRPr="00F2358E">
        <w:rPr>
          <w:rFonts w:ascii="Times New Roman" w:hAnsi="Times New Roman" w:cs="Times New Roman"/>
        </w:rPr>
        <w:t xml:space="preserve"> Exemple : Un accord régional sur les indemnités de déplacement signé en Bretagne peut être étendu par arrêté et s’appliquer à toutes les entreprises du bâtiment de moins de 10 salariés dans la région</w:t>
      </w:r>
    </w:p>
    <w:p w14:paraId="5E331ACB" w14:textId="7FC615D1" w:rsidR="00433379" w:rsidRPr="00433379" w:rsidRDefault="00433379" w:rsidP="00433379">
      <w:pPr>
        <w:rPr>
          <w:rFonts w:ascii="Times New Roman" w:hAnsi="Times New Roman" w:cs="Times New Roman"/>
        </w:rPr>
      </w:pPr>
      <w:r w:rsidRPr="00433379">
        <w:rPr>
          <w:rFonts w:ascii="Times New Roman" w:hAnsi="Times New Roman" w:cs="Times New Roman"/>
        </w:rPr>
        <w:t>Contester l’</w:t>
      </w:r>
      <w:r w:rsidRPr="00433379">
        <w:rPr>
          <w:rFonts w:ascii="Times New Roman" w:hAnsi="Times New Roman" w:cs="Times New Roman"/>
          <w:b/>
          <w:bCs/>
        </w:rPr>
        <w:t>extension d’un accord collectif</w:t>
      </w:r>
      <w:r w:rsidRPr="00433379">
        <w:rPr>
          <w:rFonts w:ascii="Times New Roman" w:hAnsi="Times New Roman" w:cs="Times New Roman"/>
        </w:rPr>
        <w:t xml:space="preserve"> est possible, mais encadré par des règles strictes du Code du travail. Voici comment cela fonctionne :</w:t>
      </w:r>
    </w:p>
    <w:p w14:paraId="6997D149" w14:textId="46AD742A" w:rsidR="00433379" w:rsidRPr="00433379" w:rsidRDefault="00433379" w:rsidP="00433379">
      <w:pPr>
        <w:rPr>
          <w:rFonts w:ascii="Times New Roman" w:hAnsi="Times New Roman" w:cs="Times New Roman"/>
          <w:b/>
          <w:bCs/>
        </w:rPr>
      </w:pPr>
      <w:r w:rsidRPr="00433379">
        <w:rPr>
          <w:rFonts w:ascii="Times New Roman" w:hAnsi="Times New Roman" w:cs="Times New Roman"/>
          <w:b/>
          <w:bCs/>
        </w:rPr>
        <w:t>Qui peut contester ?</w:t>
      </w:r>
    </w:p>
    <w:p w14:paraId="0044BACF" w14:textId="77777777" w:rsidR="00433379" w:rsidRPr="00433379" w:rsidRDefault="00433379" w:rsidP="00433379">
      <w:pPr>
        <w:numPr>
          <w:ilvl w:val="0"/>
          <w:numId w:val="8"/>
        </w:numPr>
        <w:rPr>
          <w:rFonts w:ascii="Times New Roman" w:hAnsi="Times New Roman" w:cs="Times New Roman"/>
        </w:rPr>
      </w:pPr>
      <w:r w:rsidRPr="00433379">
        <w:rPr>
          <w:rFonts w:ascii="Times New Roman" w:hAnsi="Times New Roman" w:cs="Times New Roman"/>
          <w:b/>
          <w:bCs/>
        </w:rPr>
        <w:t>Organisations syndicales</w:t>
      </w:r>
      <w:r w:rsidRPr="00433379">
        <w:rPr>
          <w:rFonts w:ascii="Times New Roman" w:hAnsi="Times New Roman" w:cs="Times New Roman"/>
        </w:rPr>
        <w:t xml:space="preserve"> (signataires ou non)</w:t>
      </w:r>
    </w:p>
    <w:p w14:paraId="67BF5025" w14:textId="77777777" w:rsidR="00433379" w:rsidRPr="00433379" w:rsidRDefault="00433379" w:rsidP="00433379">
      <w:pPr>
        <w:numPr>
          <w:ilvl w:val="0"/>
          <w:numId w:val="8"/>
        </w:numPr>
        <w:rPr>
          <w:rFonts w:ascii="Times New Roman" w:hAnsi="Times New Roman" w:cs="Times New Roman"/>
        </w:rPr>
      </w:pPr>
      <w:r w:rsidRPr="00433379">
        <w:rPr>
          <w:rFonts w:ascii="Times New Roman" w:hAnsi="Times New Roman" w:cs="Times New Roman"/>
          <w:b/>
          <w:bCs/>
        </w:rPr>
        <w:t>Employeurs</w:t>
      </w:r>
      <w:r w:rsidRPr="00433379">
        <w:rPr>
          <w:rFonts w:ascii="Times New Roman" w:hAnsi="Times New Roman" w:cs="Times New Roman"/>
        </w:rPr>
        <w:t xml:space="preserve"> ou organisations patronales</w:t>
      </w:r>
    </w:p>
    <w:p w14:paraId="31727715" w14:textId="77777777" w:rsidR="00433379" w:rsidRPr="00433379" w:rsidRDefault="00433379" w:rsidP="00433379">
      <w:pPr>
        <w:numPr>
          <w:ilvl w:val="0"/>
          <w:numId w:val="8"/>
        </w:numPr>
        <w:rPr>
          <w:rFonts w:ascii="Times New Roman" w:hAnsi="Times New Roman" w:cs="Times New Roman"/>
        </w:rPr>
      </w:pPr>
      <w:r w:rsidRPr="00433379">
        <w:rPr>
          <w:rFonts w:ascii="Times New Roman" w:hAnsi="Times New Roman" w:cs="Times New Roman"/>
          <w:b/>
          <w:bCs/>
        </w:rPr>
        <w:t>Salariés</w:t>
      </w:r>
      <w:r w:rsidRPr="00433379">
        <w:rPr>
          <w:rFonts w:ascii="Times New Roman" w:hAnsi="Times New Roman" w:cs="Times New Roman"/>
        </w:rPr>
        <w:t>, dans certains cas, par voie d’exception lors d’un litige individuel</w:t>
      </w:r>
    </w:p>
    <w:p w14:paraId="0F4F281D" w14:textId="6284E82C" w:rsidR="00433379" w:rsidRPr="00433379" w:rsidRDefault="00433379" w:rsidP="00433379">
      <w:pPr>
        <w:rPr>
          <w:rFonts w:ascii="Times New Roman" w:hAnsi="Times New Roman" w:cs="Times New Roman"/>
          <w:b/>
          <w:bCs/>
        </w:rPr>
      </w:pPr>
      <w:r w:rsidRPr="00433379">
        <w:rPr>
          <w:rFonts w:ascii="Times New Roman" w:hAnsi="Times New Roman" w:cs="Times New Roman"/>
          <w:b/>
          <w:bCs/>
        </w:rPr>
        <w:t>Délai pour agir</w:t>
      </w:r>
    </w:p>
    <w:p w14:paraId="6AC29EF3" w14:textId="77777777" w:rsidR="00433379" w:rsidRPr="00433379" w:rsidRDefault="00433379" w:rsidP="00433379">
      <w:pPr>
        <w:rPr>
          <w:rFonts w:ascii="Times New Roman" w:hAnsi="Times New Roman" w:cs="Times New Roman"/>
        </w:rPr>
      </w:pPr>
      <w:r w:rsidRPr="00433379">
        <w:rPr>
          <w:rFonts w:ascii="Times New Roman" w:hAnsi="Times New Roman" w:cs="Times New Roman"/>
        </w:rPr>
        <w:t xml:space="preserve">Depuis les </w:t>
      </w:r>
      <w:r w:rsidRPr="00433379">
        <w:rPr>
          <w:rFonts w:ascii="Times New Roman" w:hAnsi="Times New Roman" w:cs="Times New Roman"/>
          <w:b/>
          <w:bCs/>
        </w:rPr>
        <w:t>ordonnances Macron de 2017</w:t>
      </w:r>
      <w:r w:rsidRPr="00433379">
        <w:rPr>
          <w:rFonts w:ascii="Times New Roman" w:hAnsi="Times New Roman" w:cs="Times New Roman"/>
        </w:rPr>
        <w:t xml:space="preserve">, toute </w:t>
      </w:r>
      <w:r w:rsidRPr="00433379">
        <w:rPr>
          <w:rFonts w:ascii="Times New Roman" w:hAnsi="Times New Roman" w:cs="Times New Roman"/>
          <w:b/>
          <w:bCs/>
        </w:rPr>
        <w:t>action en nullité</w:t>
      </w:r>
      <w:r w:rsidRPr="00433379">
        <w:rPr>
          <w:rFonts w:ascii="Times New Roman" w:hAnsi="Times New Roman" w:cs="Times New Roman"/>
        </w:rPr>
        <w:t xml:space="preserve"> d’un accord (ou de son extension) doit être engagée </w:t>
      </w:r>
      <w:r w:rsidRPr="00433379">
        <w:rPr>
          <w:rFonts w:ascii="Times New Roman" w:hAnsi="Times New Roman" w:cs="Times New Roman"/>
          <w:b/>
          <w:bCs/>
        </w:rPr>
        <w:t>dans un délai de 2 mois</w:t>
      </w:r>
      <w:r w:rsidRPr="00433379">
        <w:rPr>
          <w:rFonts w:ascii="Times New Roman" w:hAnsi="Times New Roman" w:cs="Times New Roman"/>
        </w:rPr>
        <w:t xml:space="preserve"> :</w:t>
      </w:r>
    </w:p>
    <w:p w14:paraId="4758B5E1" w14:textId="77777777" w:rsidR="00433379" w:rsidRPr="00433379" w:rsidRDefault="00433379" w:rsidP="00433379">
      <w:pPr>
        <w:numPr>
          <w:ilvl w:val="0"/>
          <w:numId w:val="9"/>
        </w:numPr>
        <w:rPr>
          <w:rFonts w:ascii="Times New Roman" w:hAnsi="Times New Roman" w:cs="Times New Roman"/>
        </w:rPr>
      </w:pPr>
      <w:r w:rsidRPr="00433379">
        <w:rPr>
          <w:rFonts w:ascii="Times New Roman" w:hAnsi="Times New Roman" w:cs="Times New Roman"/>
        </w:rPr>
        <w:t xml:space="preserve">À compter de la </w:t>
      </w:r>
      <w:r w:rsidRPr="00433379">
        <w:rPr>
          <w:rFonts w:ascii="Times New Roman" w:hAnsi="Times New Roman" w:cs="Times New Roman"/>
          <w:b/>
          <w:bCs/>
        </w:rPr>
        <w:t>publication de l’accord</w:t>
      </w:r>
      <w:r w:rsidRPr="00433379">
        <w:rPr>
          <w:rFonts w:ascii="Times New Roman" w:hAnsi="Times New Roman" w:cs="Times New Roman"/>
        </w:rPr>
        <w:t xml:space="preserve"> dans la base de données nationale (</w:t>
      </w:r>
      <w:r w:rsidRPr="00433379">
        <w:rPr>
          <w:rFonts w:ascii="Times New Roman" w:hAnsi="Times New Roman" w:cs="Times New Roman"/>
          <w:i/>
          <w:iCs/>
        </w:rPr>
        <w:t>Légifrance</w:t>
      </w:r>
      <w:r w:rsidRPr="00433379">
        <w:rPr>
          <w:rFonts w:ascii="Times New Roman" w:hAnsi="Times New Roman" w:cs="Times New Roman"/>
        </w:rPr>
        <w:t>)</w:t>
      </w:r>
    </w:p>
    <w:p w14:paraId="31465E44" w14:textId="77777777" w:rsidR="00433379" w:rsidRPr="00433379" w:rsidRDefault="00433379" w:rsidP="00433379">
      <w:pPr>
        <w:numPr>
          <w:ilvl w:val="0"/>
          <w:numId w:val="9"/>
        </w:numPr>
        <w:rPr>
          <w:rFonts w:ascii="Times New Roman" w:hAnsi="Times New Roman" w:cs="Times New Roman"/>
        </w:rPr>
      </w:pPr>
      <w:r w:rsidRPr="00433379">
        <w:rPr>
          <w:rFonts w:ascii="Times New Roman" w:hAnsi="Times New Roman" w:cs="Times New Roman"/>
        </w:rPr>
        <w:t xml:space="preserve">Ou de la </w:t>
      </w:r>
      <w:r w:rsidRPr="00433379">
        <w:rPr>
          <w:rFonts w:ascii="Times New Roman" w:hAnsi="Times New Roman" w:cs="Times New Roman"/>
          <w:b/>
          <w:bCs/>
        </w:rPr>
        <w:t>notification</w:t>
      </w:r>
      <w:r w:rsidRPr="00433379">
        <w:rPr>
          <w:rFonts w:ascii="Times New Roman" w:hAnsi="Times New Roman" w:cs="Times New Roman"/>
        </w:rPr>
        <w:t xml:space="preserve"> aux syndicats dans le cas d’un accord d’entreprise</w:t>
      </w:r>
    </w:p>
    <w:p w14:paraId="739B3543" w14:textId="77777777" w:rsidR="00433379" w:rsidRPr="00433379" w:rsidRDefault="00433379" w:rsidP="00433379">
      <w:pPr>
        <w:rPr>
          <w:rFonts w:ascii="Times New Roman" w:hAnsi="Times New Roman" w:cs="Times New Roman"/>
        </w:rPr>
      </w:pPr>
      <w:r w:rsidRPr="00433379">
        <w:rPr>
          <w:rFonts w:ascii="Times New Roman" w:hAnsi="Times New Roman" w:cs="Times New Roman"/>
        </w:rPr>
        <w:t xml:space="preserve">Ce délai est </w:t>
      </w:r>
      <w:r w:rsidRPr="00433379">
        <w:rPr>
          <w:rFonts w:ascii="Times New Roman" w:hAnsi="Times New Roman" w:cs="Times New Roman"/>
          <w:b/>
          <w:bCs/>
        </w:rPr>
        <w:t>strict</w:t>
      </w:r>
      <w:r w:rsidRPr="00433379">
        <w:rPr>
          <w:rFonts w:ascii="Times New Roman" w:hAnsi="Times New Roman" w:cs="Times New Roman"/>
        </w:rPr>
        <w:t xml:space="preserve"> : passé ce délai, l’accord est réputé valide, sauf exception.</w:t>
      </w:r>
    </w:p>
    <w:p w14:paraId="24572E06" w14:textId="71334520" w:rsidR="00433379" w:rsidRPr="00433379" w:rsidRDefault="00433379" w:rsidP="00433379">
      <w:pPr>
        <w:rPr>
          <w:rFonts w:ascii="Times New Roman" w:hAnsi="Times New Roman" w:cs="Times New Roman"/>
          <w:b/>
          <w:bCs/>
        </w:rPr>
      </w:pPr>
      <w:r w:rsidRPr="00433379">
        <w:rPr>
          <w:rFonts w:ascii="Times New Roman" w:hAnsi="Times New Roman" w:cs="Times New Roman"/>
          <w:b/>
          <w:bCs/>
        </w:rPr>
        <w:t>Motifs de contestation recevables</w:t>
      </w:r>
    </w:p>
    <w:p w14:paraId="3F8D5833" w14:textId="77777777" w:rsidR="00433379" w:rsidRPr="00433379" w:rsidRDefault="00433379" w:rsidP="00433379">
      <w:pPr>
        <w:rPr>
          <w:rFonts w:ascii="Times New Roman" w:hAnsi="Times New Roman" w:cs="Times New Roman"/>
        </w:rPr>
      </w:pPr>
      <w:r w:rsidRPr="00433379">
        <w:rPr>
          <w:rFonts w:ascii="Times New Roman" w:hAnsi="Times New Roman" w:cs="Times New Roman"/>
        </w:rPr>
        <w:t xml:space="preserve">On ne peut pas contester un accord simplement parce qu’on est en désaccord avec son contenu. Les motifs doivent être </w:t>
      </w:r>
      <w:r w:rsidRPr="00433379">
        <w:rPr>
          <w:rFonts w:ascii="Times New Roman" w:hAnsi="Times New Roman" w:cs="Times New Roman"/>
          <w:b/>
          <w:bCs/>
        </w:rPr>
        <w:t>juridiques</w:t>
      </w:r>
      <w:r w:rsidRPr="00433379">
        <w:rPr>
          <w:rFonts w:ascii="Times New Roman" w:hAnsi="Times New Roman" w:cs="Times New Roman"/>
        </w:rPr>
        <w:t>, par exemple :</w:t>
      </w:r>
    </w:p>
    <w:p w14:paraId="2C7D62F6" w14:textId="77777777" w:rsidR="00433379" w:rsidRPr="00433379" w:rsidRDefault="00433379" w:rsidP="00433379">
      <w:pPr>
        <w:numPr>
          <w:ilvl w:val="0"/>
          <w:numId w:val="10"/>
        </w:numPr>
        <w:rPr>
          <w:rFonts w:ascii="Times New Roman" w:hAnsi="Times New Roman" w:cs="Times New Roman"/>
        </w:rPr>
      </w:pPr>
      <w:r w:rsidRPr="00433379">
        <w:rPr>
          <w:rFonts w:ascii="Times New Roman" w:hAnsi="Times New Roman" w:cs="Times New Roman"/>
          <w:b/>
          <w:bCs/>
        </w:rPr>
        <w:t>Vice de procédure</w:t>
      </w:r>
      <w:r w:rsidRPr="00433379">
        <w:rPr>
          <w:rFonts w:ascii="Times New Roman" w:hAnsi="Times New Roman" w:cs="Times New Roman"/>
        </w:rPr>
        <w:t xml:space="preserve"> (absence de consultation obligatoire, mauvaise qualité des signataires)</w:t>
      </w:r>
    </w:p>
    <w:p w14:paraId="614A4750" w14:textId="77777777" w:rsidR="00433379" w:rsidRPr="00433379" w:rsidRDefault="00433379" w:rsidP="00433379">
      <w:pPr>
        <w:numPr>
          <w:ilvl w:val="0"/>
          <w:numId w:val="10"/>
        </w:numPr>
        <w:rPr>
          <w:rFonts w:ascii="Times New Roman" w:hAnsi="Times New Roman" w:cs="Times New Roman"/>
        </w:rPr>
      </w:pPr>
      <w:r w:rsidRPr="00433379">
        <w:rPr>
          <w:rFonts w:ascii="Times New Roman" w:hAnsi="Times New Roman" w:cs="Times New Roman"/>
          <w:b/>
          <w:bCs/>
        </w:rPr>
        <w:t>Non-respect des règles de représentativité</w:t>
      </w:r>
    </w:p>
    <w:p w14:paraId="799EC0FE" w14:textId="77777777" w:rsidR="00433379" w:rsidRPr="00433379" w:rsidRDefault="00433379" w:rsidP="00433379">
      <w:pPr>
        <w:numPr>
          <w:ilvl w:val="0"/>
          <w:numId w:val="10"/>
        </w:numPr>
        <w:rPr>
          <w:rFonts w:ascii="Times New Roman" w:hAnsi="Times New Roman" w:cs="Times New Roman"/>
        </w:rPr>
      </w:pPr>
      <w:r w:rsidRPr="00433379">
        <w:rPr>
          <w:rFonts w:ascii="Times New Roman" w:hAnsi="Times New Roman" w:cs="Times New Roman"/>
          <w:b/>
          <w:bCs/>
        </w:rPr>
        <w:t>Incompatibilité avec des normes supérieures</w:t>
      </w:r>
      <w:r w:rsidRPr="00433379">
        <w:rPr>
          <w:rFonts w:ascii="Times New Roman" w:hAnsi="Times New Roman" w:cs="Times New Roman"/>
        </w:rPr>
        <w:t xml:space="preserve"> (loi, Constitution, droit européen)</w:t>
      </w:r>
    </w:p>
    <w:p w14:paraId="5A5ED6EB" w14:textId="5EF492E1" w:rsidR="00433379" w:rsidRPr="00433379" w:rsidRDefault="00433379" w:rsidP="00433379">
      <w:pPr>
        <w:rPr>
          <w:rFonts w:ascii="Times New Roman" w:hAnsi="Times New Roman" w:cs="Times New Roman"/>
          <w:b/>
          <w:bCs/>
        </w:rPr>
      </w:pPr>
      <w:r w:rsidRPr="00433379">
        <w:rPr>
          <w:rFonts w:ascii="Times New Roman" w:hAnsi="Times New Roman" w:cs="Times New Roman"/>
          <w:b/>
          <w:bCs/>
        </w:rPr>
        <w:t>Comment contester ?</w:t>
      </w:r>
    </w:p>
    <w:p w14:paraId="0367DEF3" w14:textId="77777777" w:rsidR="00433379" w:rsidRPr="00433379" w:rsidRDefault="00433379" w:rsidP="00433379">
      <w:pPr>
        <w:rPr>
          <w:rFonts w:ascii="Times New Roman" w:hAnsi="Times New Roman" w:cs="Times New Roman"/>
          <w:b/>
          <w:bCs/>
        </w:rPr>
      </w:pPr>
      <w:r w:rsidRPr="00433379">
        <w:rPr>
          <w:rFonts w:ascii="Times New Roman" w:hAnsi="Times New Roman" w:cs="Times New Roman"/>
          <w:b/>
          <w:bCs/>
        </w:rPr>
        <w:t>1. Recours devant le tribunal judiciaire</w:t>
      </w:r>
    </w:p>
    <w:p w14:paraId="42E0C121" w14:textId="77777777" w:rsidR="00433379" w:rsidRPr="00433379" w:rsidRDefault="00433379" w:rsidP="00433379">
      <w:pPr>
        <w:numPr>
          <w:ilvl w:val="0"/>
          <w:numId w:val="11"/>
        </w:numPr>
        <w:rPr>
          <w:rFonts w:ascii="Times New Roman" w:hAnsi="Times New Roman" w:cs="Times New Roman"/>
        </w:rPr>
      </w:pPr>
      <w:r w:rsidRPr="00433379">
        <w:rPr>
          <w:rFonts w:ascii="Times New Roman" w:hAnsi="Times New Roman" w:cs="Times New Roman"/>
        </w:rPr>
        <w:t xml:space="preserve">Action en </w:t>
      </w:r>
      <w:r w:rsidRPr="00433379">
        <w:rPr>
          <w:rFonts w:ascii="Times New Roman" w:hAnsi="Times New Roman" w:cs="Times New Roman"/>
          <w:b/>
          <w:bCs/>
        </w:rPr>
        <w:t>nullité</w:t>
      </w:r>
      <w:r w:rsidRPr="00433379">
        <w:rPr>
          <w:rFonts w:ascii="Times New Roman" w:hAnsi="Times New Roman" w:cs="Times New Roman"/>
        </w:rPr>
        <w:t xml:space="preserve"> de l’accord ou de son extension</w:t>
      </w:r>
    </w:p>
    <w:p w14:paraId="435DF950" w14:textId="77777777" w:rsidR="00433379" w:rsidRPr="00433379" w:rsidRDefault="00433379" w:rsidP="00433379">
      <w:pPr>
        <w:numPr>
          <w:ilvl w:val="0"/>
          <w:numId w:val="11"/>
        </w:numPr>
        <w:rPr>
          <w:rFonts w:ascii="Times New Roman" w:hAnsi="Times New Roman" w:cs="Times New Roman"/>
        </w:rPr>
      </w:pPr>
      <w:r w:rsidRPr="00433379">
        <w:rPr>
          <w:rFonts w:ascii="Times New Roman" w:hAnsi="Times New Roman" w:cs="Times New Roman"/>
        </w:rPr>
        <w:t>Doit être introduite dans les 2 mois</w:t>
      </w:r>
    </w:p>
    <w:p w14:paraId="0732423D" w14:textId="77777777" w:rsidR="00433379" w:rsidRPr="00433379" w:rsidRDefault="00433379" w:rsidP="00433379">
      <w:pPr>
        <w:numPr>
          <w:ilvl w:val="0"/>
          <w:numId w:val="11"/>
        </w:numPr>
        <w:rPr>
          <w:rFonts w:ascii="Times New Roman" w:hAnsi="Times New Roman" w:cs="Times New Roman"/>
        </w:rPr>
      </w:pPr>
      <w:r w:rsidRPr="00433379">
        <w:rPr>
          <w:rFonts w:ascii="Times New Roman" w:hAnsi="Times New Roman" w:cs="Times New Roman"/>
        </w:rPr>
        <w:t xml:space="preserve">Le juge statue dans un délai de </w:t>
      </w:r>
      <w:r w:rsidRPr="00433379">
        <w:rPr>
          <w:rFonts w:ascii="Times New Roman" w:hAnsi="Times New Roman" w:cs="Times New Roman"/>
          <w:b/>
          <w:bCs/>
        </w:rPr>
        <w:t>6 mois</w:t>
      </w:r>
      <w:r w:rsidRPr="00433379">
        <w:rPr>
          <w:rFonts w:ascii="Times New Roman" w:hAnsi="Times New Roman" w:cs="Times New Roman"/>
        </w:rPr>
        <w:t xml:space="preserve"> (non contraignant)</w:t>
      </w:r>
    </w:p>
    <w:p w14:paraId="2E23DF46" w14:textId="77777777" w:rsidR="00433379" w:rsidRPr="00433379" w:rsidRDefault="00433379" w:rsidP="00433379">
      <w:pPr>
        <w:rPr>
          <w:rFonts w:ascii="Times New Roman" w:hAnsi="Times New Roman" w:cs="Times New Roman"/>
          <w:b/>
          <w:bCs/>
        </w:rPr>
      </w:pPr>
      <w:r w:rsidRPr="00433379">
        <w:rPr>
          <w:rFonts w:ascii="Times New Roman" w:hAnsi="Times New Roman" w:cs="Times New Roman"/>
          <w:b/>
          <w:bCs/>
        </w:rPr>
        <w:t>2. Voie d’exception dans un litige individuel</w:t>
      </w:r>
    </w:p>
    <w:p w14:paraId="3139545A" w14:textId="77777777" w:rsidR="00433379" w:rsidRPr="00433379" w:rsidRDefault="00433379" w:rsidP="00433379">
      <w:pPr>
        <w:numPr>
          <w:ilvl w:val="0"/>
          <w:numId w:val="12"/>
        </w:numPr>
        <w:rPr>
          <w:rFonts w:ascii="Times New Roman" w:hAnsi="Times New Roman" w:cs="Times New Roman"/>
        </w:rPr>
      </w:pPr>
      <w:r w:rsidRPr="00433379">
        <w:rPr>
          <w:rFonts w:ascii="Times New Roman" w:hAnsi="Times New Roman" w:cs="Times New Roman"/>
        </w:rPr>
        <w:lastRenderedPageBreak/>
        <w:t>Un salarié peut invoquer l’</w:t>
      </w:r>
      <w:r w:rsidRPr="00433379">
        <w:rPr>
          <w:rFonts w:ascii="Times New Roman" w:hAnsi="Times New Roman" w:cs="Times New Roman"/>
          <w:b/>
          <w:bCs/>
        </w:rPr>
        <w:t>illégalité d’une clause</w:t>
      </w:r>
      <w:r w:rsidRPr="00433379">
        <w:rPr>
          <w:rFonts w:ascii="Times New Roman" w:hAnsi="Times New Roman" w:cs="Times New Roman"/>
        </w:rPr>
        <w:t xml:space="preserve"> d’un accord dans le cadre d’un contentieux (ex. : prud’hommes)</w:t>
      </w:r>
    </w:p>
    <w:p w14:paraId="7F65C4F4" w14:textId="77777777" w:rsidR="00433379" w:rsidRPr="00433379" w:rsidRDefault="00433379" w:rsidP="00433379">
      <w:pPr>
        <w:numPr>
          <w:ilvl w:val="0"/>
          <w:numId w:val="12"/>
        </w:numPr>
        <w:rPr>
          <w:rFonts w:ascii="Times New Roman" w:hAnsi="Times New Roman" w:cs="Times New Roman"/>
        </w:rPr>
      </w:pPr>
      <w:r w:rsidRPr="00433379">
        <w:rPr>
          <w:rFonts w:ascii="Times New Roman" w:hAnsi="Times New Roman" w:cs="Times New Roman"/>
        </w:rPr>
        <w:t xml:space="preserve">Ce recours n’est pas limité par le délai de 2 mois, mais dépend du </w:t>
      </w:r>
      <w:r w:rsidRPr="00433379">
        <w:rPr>
          <w:rFonts w:ascii="Times New Roman" w:hAnsi="Times New Roman" w:cs="Times New Roman"/>
          <w:b/>
          <w:bCs/>
        </w:rPr>
        <w:t>type de litige</w:t>
      </w:r>
      <w:r w:rsidRPr="00433379">
        <w:rPr>
          <w:rFonts w:ascii="Times New Roman" w:hAnsi="Times New Roman" w:cs="Times New Roman"/>
        </w:rPr>
        <w:t xml:space="preserve"> (ex. : prescription de 3 ans pour les salaires)</w:t>
      </w:r>
    </w:p>
    <w:p w14:paraId="7E41B0AF" w14:textId="28451764" w:rsidR="00433379" w:rsidRPr="00433379" w:rsidRDefault="00433379" w:rsidP="00433379">
      <w:pPr>
        <w:rPr>
          <w:rFonts w:ascii="Times New Roman" w:hAnsi="Times New Roman" w:cs="Times New Roman"/>
        </w:rPr>
      </w:pPr>
      <w:r w:rsidRPr="00433379">
        <w:rPr>
          <w:rFonts w:ascii="Times New Roman" w:hAnsi="Times New Roman" w:cs="Times New Roman"/>
        </w:rPr>
        <w:t>Exemple : Un salarié peut contester une clause d’un accord étendu s’il estime qu’elle viole ses droits, même si l’accord n’a pas été annulé globalement</w:t>
      </w:r>
    </w:p>
    <w:p w14:paraId="70DA8595" w14:textId="77777777" w:rsidR="00433379" w:rsidRPr="00F2358E" w:rsidRDefault="00433379" w:rsidP="00F2358E">
      <w:pPr>
        <w:rPr>
          <w:rFonts w:ascii="Times New Roman" w:hAnsi="Times New Roman" w:cs="Times New Roman"/>
        </w:rPr>
      </w:pPr>
    </w:p>
    <w:p w14:paraId="513029A8" w14:textId="77777777" w:rsidR="009B372B" w:rsidRDefault="009B372B"/>
    <w:sectPr w:rsidR="009B37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63F4C"/>
    <w:multiLevelType w:val="multilevel"/>
    <w:tmpl w:val="3298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71ED9"/>
    <w:multiLevelType w:val="multilevel"/>
    <w:tmpl w:val="29FAC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F10D3C"/>
    <w:multiLevelType w:val="multilevel"/>
    <w:tmpl w:val="C2EEB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9F585C"/>
    <w:multiLevelType w:val="multilevel"/>
    <w:tmpl w:val="F656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1C2BD6"/>
    <w:multiLevelType w:val="multilevel"/>
    <w:tmpl w:val="C5AAB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97521"/>
    <w:multiLevelType w:val="multilevel"/>
    <w:tmpl w:val="84F42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EC0BFB"/>
    <w:multiLevelType w:val="multilevel"/>
    <w:tmpl w:val="8924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134268"/>
    <w:multiLevelType w:val="multilevel"/>
    <w:tmpl w:val="C02E2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E2639F"/>
    <w:multiLevelType w:val="multilevel"/>
    <w:tmpl w:val="228CD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B36F4D"/>
    <w:multiLevelType w:val="multilevel"/>
    <w:tmpl w:val="6C489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F78A2"/>
    <w:multiLevelType w:val="multilevel"/>
    <w:tmpl w:val="40243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B95DE4"/>
    <w:multiLevelType w:val="multilevel"/>
    <w:tmpl w:val="5742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1417659">
    <w:abstractNumId w:val="2"/>
  </w:num>
  <w:num w:numId="2" w16cid:durableId="1589607699">
    <w:abstractNumId w:val="0"/>
  </w:num>
  <w:num w:numId="3" w16cid:durableId="1242913064">
    <w:abstractNumId w:val="9"/>
  </w:num>
  <w:num w:numId="4" w16cid:durableId="1594505983">
    <w:abstractNumId w:val="1"/>
  </w:num>
  <w:num w:numId="5" w16cid:durableId="1554847186">
    <w:abstractNumId w:val="11"/>
  </w:num>
  <w:num w:numId="6" w16cid:durableId="482432909">
    <w:abstractNumId w:val="6"/>
  </w:num>
  <w:num w:numId="7" w16cid:durableId="213858091">
    <w:abstractNumId w:val="10"/>
  </w:num>
  <w:num w:numId="8" w16cid:durableId="53477704">
    <w:abstractNumId w:val="7"/>
  </w:num>
  <w:num w:numId="9" w16cid:durableId="558521539">
    <w:abstractNumId w:val="4"/>
  </w:num>
  <w:num w:numId="10" w16cid:durableId="1533688516">
    <w:abstractNumId w:val="8"/>
  </w:num>
  <w:num w:numId="11" w16cid:durableId="423186812">
    <w:abstractNumId w:val="3"/>
  </w:num>
  <w:num w:numId="12" w16cid:durableId="5148799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72B"/>
    <w:rsid w:val="00072E7E"/>
    <w:rsid w:val="000B3F79"/>
    <w:rsid w:val="00111F29"/>
    <w:rsid w:val="00167E62"/>
    <w:rsid w:val="001D5F92"/>
    <w:rsid w:val="003E38F0"/>
    <w:rsid w:val="00433379"/>
    <w:rsid w:val="0047139F"/>
    <w:rsid w:val="00475EF8"/>
    <w:rsid w:val="00515455"/>
    <w:rsid w:val="0062197B"/>
    <w:rsid w:val="006933BD"/>
    <w:rsid w:val="006B2DFD"/>
    <w:rsid w:val="0095167B"/>
    <w:rsid w:val="009B372B"/>
    <w:rsid w:val="00F2358E"/>
    <w:rsid w:val="00F519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183B7"/>
  <w15:chartTrackingRefBased/>
  <w15:docId w15:val="{F1417848-8FEA-4749-B8E0-60FC7A7FB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B37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9B37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9B372B"/>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9B372B"/>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9B372B"/>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9B372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B372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B372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B372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372B"/>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9B372B"/>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9B372B"/>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9B372B"/>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9B372B"/>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9B372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B372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B372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B372B"/>
    <w:rPr>
      <w:rFonts w:eastAsiaTheme="majorEastAsia" w:cstheme="majorBidi"/>
      <w:color w:val="272727" w:themeColor="text1" w:themeTint="D8"/>
    </w:rPr>
  </w:style>
  <w:style w:type="paragraph" w:styleId="Titre">
    <w:name w:val="Title"/>
    <w:basedOn w:val="Normal"/>
    <w:next w:val="Normal"/>
    <w:link w:val="TitreCar"/>
    <w:uiPriority w:val="10"/>
    <w:qFormat/>
    <w:rsid w:val="009B37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B372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B372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B372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B372B"/>
    <w:pPr>
      <w:spacing w:before="160"/>
      <w:jc w:val="center"/>
    </w:pPr>
    <w:rPr>
      <w:i/>
      <w:iCs/>
      <w:color w:val="404040" w:themeColor="text1" w:themeTint="BF"/>
    </w:rPr>
  </w:style>
  <w:style w:type="character" w:customStyle="1" w:styleId="CitationCar">
    <w:name w:val="Citation Car"/>
    <w:basedOn w:val="Policepardfaut"/>
    <w:link w:val="Citation"/>
    <w:uiPriority w:val="29"/>
    <w:rsid w:val="009B372B"/>
    <w:rPr>
      <w:i/>
      <w:iCs/>
      <w:color w:val="404040" w:themeColor="text1" w:themeTint="BF"/>
    </w:rPr>
  </w:style>
  <w:style w:type="paragraph" w:styleId="Paragraphedeliste">
    <w:name w:val="List Paragraph"/>
    <w:basedOn w:val="Normal"/>
    <w:uiPriority w:val="34"/>
    <w:qFormat/>
    <w:rsid w:val="009B372B"/>
    <w:pPr>
      <w:ind w:left="720"/>
      <w:contextualSpacing/>
    </w:pPr>
  </w:style>
  <w:style w:type="character" w:styleId="Accentuationintense">
    <w:name w:val="Intense Emphasis"/>
    <w:basedOn w:val="Policepardfaut"/>
    <w:uiPriority w:val="21"/>
    <w:qFormat/>
    <w:rsid w:val="009B372B"/>
    <w:rPr>
      <w:i/>
      <w:iCs/>
      <w:color w:val="2F5496" w:themeColor="accent1" w:themeShade="BF"/>
    </w:rPr>
  </w:style>
  <w:style w:type="paragraph" w:styleId="Citationintense">
    <w:name w:val="Intense Quote"/>
    <w:basedOn w:val="Normal"/>
    <w:next w:val="Normal"/>
    <w:link w:val="CitationintenseCar"/>
    <w:uiPriority w:val="30"/>
    <w:qFormat/>
    <w:rsid w:val="009B37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9B372B"/>
    <w:rPr>
      <w:i/>
      <w:iCs/>
      <w:color w:val="2F5496" w:themeColor="accent1" w:themeShade="BF"/>
    </w:rPr>
  </w:style>
  <w:style w:type="character" w:styleId="Rfrenceintense">
    <w:name w:val="Intense Reference"/>
    <w:basedOn w:val="Policepardfaut"/>
    <w:uiPriority w:val="32"/>
    <w:qFormat/>
    <w:rsid w:val="009B372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750</Words>
  <Characters>4129</Characters>
  <Application>Microsoft Office Word</Application>
  <DocSecurity>0</DocSecurity>
  <Lines>34</Lines>
  <Paragraphs>9</Paragraphs>
  <ScaleCrop>false</ScaleCrop>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11</cp:revision>
  <cp:lastPrinted>2025-08-21T05:25:00Z</cp:lastPrinted>
  <dcterms:created xsi:type="dcterms:W3CDTF">2025-08-21T05:19:00Z</dcterms:created>
  <dcterms:modified xsi:type="dcterms:W3CDTF">2025-09-01T08:47:00Z</dcterms:modified>
</cp:coreProperties>
</file>